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259D" w14:textId="45294CD9" w:rsidR="006B2986" w:rsidRPr="005C57E3" w:rsidRDefault="006B2986" w:rsidP="001D64A1">
      <w:pPr>
        <w:pStyle w:val="Heading1"/>
        <w:spacing w:before="0" w:line="320" w:lineRule="atLeast"/>
        <w:rPr>
          <w:rFonts w:ascii="Arial" w:hAnsi="Arial" w:cs="Arial"/>
          <w:color w:val="auto"/>
          <w:sz w:val="24"/>
          <w:szCs w:val="24"/>
        </w:rPr>
      </w:pPr>
      <w:r w:rsidRPr="005C57E3">
        <w:rPr>
          <w:rFonts w:ascii="Arial" w:hAnsi="Arial" w:cs="Arial"/>
          <w:color w:val="auto"/>
          <w:sz w:val="24"/>
          <w:szCs w:val="24"/>
        </w:rPr>
        <w:t xml:space="preserve">Wider Impacts of COVID-19 on Health (WICH) </w:t>
      </w:r>
      <w:r w:rsidRPr="005C57E3">
        <w:rPr>
          <w:rFonts w:ascii="Arial" w:hAnsi="Arial" w:cs="Arial"/>
          <w:b w:val="0"/>
          <w:bCs w:val="0"/>
          <w:color w:val="auto"/>
          <w:sz w:val="24"/>
          <w:szCs w:val="24"/>
        </w:rPr>
        <w:t>summary</w:t>
      </w:r>
      <w:r w:rsidRPr="00580C6A">
        <w:rPr>
          <w:rFonts w:ascii="Arial" w:hAnsi="Arial" w:cs="Arial"/>
          <w:b w:val="0"/>
          <w:bCs w:val="0"/>
          <w:color w:val="auto"/>
          <w:sz w:val="24"/>
          <w:szCs w:val="24"/>
        </w:rPr>
        <w:t>,</w:t>
      </w:r>
      <w:r w:rsidR="008864C4" w:rsidRPr="00580C6A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6A1450">
        <w:rPr>
          <w:rFonts w:ascii="Arial" w:hAnsi="Arial" w:cs="Arial"/>
          <w:b w:val="0"/>
          <w:bCs w:val="0"/>
          <w:color w:val="auto"/>
          <w:sz w:val="24"/>
          <w:szCs w:val="24"/>
        </w:rPr>
        <w:t>16</w:t>
      </w:r>
      <w:r w:rsidR="00E226C7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5A433A">
        <w:rPr>
          <w:rFonts w:ascii="Arial" w:hAnsi="Arial" w:cs="Arial"/>
          <w:b w:val="0"/>
          <w:bCs w:val="0"/>
          <w:color w:val="auto"/>
          <w:sz w:val="24"/>
          <w:szCs w:val="24"/>
        </w:rPr>
        <w:t>March</w:t>
      </w:r>
      <w:r w:rsidR="00E226C7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202</w:t>
      </w:r>
      <w:r w:rsidR="005A433A">
        <w:rPr>
          <w:rFonts w:ascii="Arial" w:hAnsi="Arial" w:cs="Arial"/>
          <w:b w:val="0"/>
          <w:bCs w:val="0"/>
          <w:color w:val="auto"/>
          <w:sz w:val="24"/>
          <w:szCs w:val="24"/>
        </w:rPr>
        <w:t>3</w:t>
      </w:r>
    </w:p>
    <w:p w14:paraId="5832E2A0" w14:textId="6B8A864E" w:rsidR="00F03DE7" w:rsidRDefault="00F03DE7" w:rsidP="001D64A1">
      <w:pPr>
        <w:spacing w:after="0" w:line="320" w:lineRule="atLeast"/>
        <w:rPr>
          <w:b/>
          <w:bCs/>
        </w:rPr>
      </w:pPr>
    </w:p>
    <w:p w14:paraId="12EE6C63" w14:textId="08A4DE4E" w:rsidR="00E226C7" w:rsidRDefault="00E226C7" w:rsidP="001D64A1">
      <w:pPr>
        <w:spacing w:after="0" w:line="320" w:lineRule="atLeast"/>
        <w:rPr>
          <w:b/>
          <w:bCs/>
        </w:rPr>
      </w:pPr>
      <w:r>
        <w:rPr>
          <w:b/>
          <w:bCs/>
        </w:rPr>
        <w:t>Overview</w:t>
      </w:r>
    </w:p>
    <w:p w14:paraId="37F109D0" w14:textId="77777777" w:rsidR="0039788E" w:rsidRDefault="0039788E" w:rsidP="001D64A1">
      <w:pPr>
        <w:spacing w:after="0" w:line="320" w:lineRule="atLeast"/>
        <w:rPr>
          <w:b/>
          <w:bCs/>
        </w:rPr>
      </w:pPr>
    </w:p>
    <w:p w14:paraId="7FDFFA22" w14:textId="6423E94F" w:rsidR="00652EF2" w:rsidRDefault="00E226C7" w:rsidP="001D64A1">
      <w:pPr>
        <w:pStyle w:val="BodyText"/>
        <w:spacing w:after="0" w:line="320" w:lineRule="atLeast"/>
      </w:pPr>
      <w:r>
        <w:t xml:space="preserve">This summary </w:t>
      </w:r>
      <w:r w:rsidRPr="00580C6A">
        <w:t>provides the main messages for some of the metrics updated in this release</w:t>
      </w:r>
      <w:r>
        <w:t xml:space="preserve">. It will cover </w:t>
      </w:r>
      <w:r w:rsidR="000F47F4">
        <w:t xml:space="preserve">employment indicators, such as number of job vacancies and redundancy rates, child physical activity, </w:t>
      </w:r>
      <w:proofErr w:type="gramStart"/>
      <w:r w:rsidR="000F47F4">
        <w:t>wellbeing</w:t>
      </w:r>
      <w:proofErr w:type="gramEnd"/>
      <w:r w:rsidR="000F47F4">
        <w:t xml:space="preserve"> and breast screening. </w:t>
      </w:r>
    </w:p>
    <w:p w14:paraId="50BA6725" w14:textId="77777777" w:rsidR="001D64A1" w:rsidRDefault="001D64A1" w:rsidP="001D64A1">
      <w:pPr>
        <w:pStyle w:val="BodyText"/>
        <w:spacing w:after="0" w:line="320" w:lineRule="atLeast"/>
      </w:pPr>
    </w:p>
    <w:p w14:paraId="1459E8EE" w14:textId="6087D0EA" w:rsidR="001D64A1" w:rsidRDefault="00E226C7" w:rsidP="001D64A1">
      <w:pPr>
        <w:pStyle w:val="BodyText"/>
        <w:spacing w:after="0" w:line="320" w:lineRule="atLeast"/>
        <w:rPr>
          <w:b/>
          <w:bCs/>
        </w:rPr>
      </w:pPr>
      <w:r>
        <w:rPr>
          <w:b/>
          <w:bCs/>
        </w:rPr>
        <w:t>Main messages</w:t>
      </w:r>
    </w:p>
    <w:p w14:paraId="55669273" w14:textId="77777777" w:rsidR="001D64A1" w:rsidRDefault="001D64A1" w:rsidP="001D64A1">
      <w:pPr>
        <w:pStyle w:val="BodyText"/>
        <w:spacing w:after="0" w:line="320" w:lineRule="atLeast"/>
        <w:rPr>
          <w:b/>
          <w:bCs/>
        </w:rPr>
      </w:pPr>
    </w:p>
    <w:p w14:paraId="575C0A5B" w14:textId="2686E950" w:rsidR="00D5507A" w:rsidRDefault="00D36F78" w:rsidP="001D64A1">
      <w:pPr>
        <w:spacing w:after="0" w:line="320" w:lineRule="atLeast"/>
        <w:rPr>
          <w:b/>
          <w:bCs/>
        </w:rPr>
      </w:pPr>
      <w:r>
        <w:rPr>
          <w:b/>
          <w:bCs/>
        </w:rPr>
        <w:t>Social determinants of health</w:t>
      </w:r>
    </w:p>
    <w:p w14:paraId="20B17B9B" w14:textId="77777777" w:rsidR="0039788E" w:rsidRDefault="0039788E" w:rsidP="001D64A1">
      <w:pPr>
        <w:spacing w:after="0" w:line="320" w:lineRule="atLeast"/>
        <w:rPr>
          <w:b/>
          <w:bCs/>
        </w:rPr>
      </w:pPr>
    </w:p>
    <w:p w14:paraId="3799EFB5" w14:textId="53DF9F1B" w:rsidR="00D36F78" w:rsidRDefault="00D36F78" w:rsidP="001D64A1">
      <w:pPr>
        <w:spacing w:after="0" w:line="320" w:lineRule="atLeast"/>
        <w:rPr>
          <w:b/>
          <w:bCs/>
        </w:rPr>
      </w:pPr>
      <w:r w:rsidRPr="00D36F78">
        <w:rPr>
          <w:b/>
          <w:bCs/>
        </w:rPr>
        <w:t>Number of job vacancies in the UK</w:t>
      </w:r>
    </w:p>
    <w:p w14:paraId="44E7B8AF" w14:textId="77777777" w:rsidR="0039788E" w:rsidRDefault="0039788E" w:rsidP="001D64A1">
      <w:pPr>
        <w:spacing w:after="0" w:line="320" w:lineRule="atLeast"/>
        <w:rPr>
          <w:b/>
          <w:bCs/>
        </w:rPr>
      </w:pPr>
    </w:p>
    <w:p w14:paraId="619353DF" w14:textId="59AB56C6" w:rsidR="00830DF9" w:rsidRDefault="005C4600" w:rsidP="001D64A1">
      <w:pPr>
        <w:pStyle w:val="PHEBodycopy"/>
        <w:spacing w:line="320" w:lineRule="atLeast"/>
        <w:ind w:right="-46"/>
      </w:pPr>
      <w:r w:rsidRPr="005C4600">
        <w:t xml:space="preserve">There is a strong evidence base showing that work is generally good for physical and mental health and wellbeing. </w:t>
      </w:r>
      <w:r w:rsidR="003C0BD7">
        <w:t>Figure 1 shows t</w:t>
      </w:r>
      <w:r w:rsidR="00A07B30">
        <w:t>he number of job vacancies has continued to decrease</w:t>
      </w:r>
      <w:r w:rsidR="003C0BD7">
        <w:t xml:space="preserve"> to 1,134,000 for</w:t>
      </w:r>
      <w:r w:rsidR="00A07B30">
        <w:t xml:space="preserve"> the quarter November </w:t>
      </w:r>
      <w:r w:rsidR="003C0BD7">
        <w:t xml:space="preserve">2022 </w:t>
      </w:r>
      <w:r w:rsidR="00A07B30">
        <w:t>to January 2023</w:t>
      </w:r>
      <w:r w:rsidR="007F3369">
        <w:t>,</w:t>
      </w:r>
      <w:r w:rsidR="003C0BD7">
        <w:t xml:space="preserve"> from a recent peak of </w:t>
      </w:r>
      <w:r w:rsidR="003C0BD7" w:rsidRPr="003C0BD7">
        <w:t>1,2</w:t>
      </w:r>
      <w:r w:rsidR="003C0BD7">
        <w:t>94</w:t>
      </w:r>
      <w:r w:rsidR="003C0BD7" w:rsidRPr="003C0BD7">
        <w:t xml:space="preserve">,000 </w:t>
      </w:r>
      <w:r w:rsidR="003C0BD7">
        <w:t>in</w:t>
      </w:r>
      <w:r w:rsidR="003C0BD7" w:rsidRPr="003C0BD7">
        <w:t xml:space="preserve"> the quarter </w:t>
      </w:r>
      <w:r w:rsidR="003C0BD7">
        <w:t>February to April 2022.</w:t>
      </w:r>
    </w:p>
    <w:p w14:paraId="7855F1AE" w14:textId="77777777" w:rsidR="005C4600" w:rsidRPr="00A07B30" w:rsidRDefault="005C4600" w:rsidP="001D64A1">
      <w:pPr>
        <w:pStyle w:val="PHEBodycopy"/>
        <w:spacing w:line="320" w:lineRule="atLeast"/>
        <w:ind w:right="-46"/>
      </w:pPr>
    </w:p>
    <w:p w14:paraId="2B34B739" w14:textId="2DF6DE77" w:rsidR="00830DF9" w:rsidRDefault="00830DF9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</w:rPr>
        <w:t xml:space="preserve">Figure 1: </w:t>
      </w:r>
      <w:r w:rsidR="005C4600">
        <w:rPr>
          <w:b/>
          <w:bCs/>
        </w:rPr>
        <w:t>Quarterly</w:t>
      </w:r>
      <w:r w:rsidR="00A07B30">
        <w:rPr>
          <w:b/>
          <w:bCs/>
        </w:rPr>
        <w:t xml:space="preserve"> average of</w:t>
      </w:r>
      <w:r w:rsidR="005C4600">
        <w:rPr>
          <w:b/>
          <w:bCs/>
        </w:rPr>
        <w:t xml:space="preserve"> number of</w:t>
      </w:r>
      <w:r w:rsidR="00D36F78" w:rsidRPr="00D36F78">
        <w:rPr>
          <w:b/>
          <w:bCs/>
        </w:rPr>
        <w:t xml:space="preserve"> job vacancies in the UK</w:t>
      </w:r>
      <w:r w:rsidR="00A07B30">
        <w:rPr>
          <w:b/>
          <w:bCs/>
        </w:rPr>
        <w:t xml:space="preserve"> </w:t>
      </w:r>
      <w:r w:rsidR="005C4600">
        <w:rPr>
          <w:b/>
          <w:bCs/>
        </w:rPr>
        <w:t xml:space="preserve">(thousands) </w:t>
      </w:r>
      <w:r w:rsidR="000A2E0A">
        <w:rPr>
          <w:b/>
          <w:bCs/>
        </w:rPr>
        <w:t>(</w:t>
      </w:r>
      <w:r w:rsidR="00D36F78" w:rsidRPr="00D36F78">
        <w:rPr>
          <w:b/>
          <w:bCs/>
        </w:rPr>
        <w:t>seasonally adjusted)</w:t>
      </w:r>
      <w:r>
        <w:rPr>
          <w:b/>
          <w:bCs/>
        </w:rPr>
        <w:t xml:space="preserve">, </w:t>
      </w:r>
      <w:r w:rsidR="000F47F4">
        <w:rPr>
          <w:b/>
          <w:bCs/>
        </w:rPr>
        <w:t xml:space="preserve">United Kingdom, </w:t>
      </w:r>
      <w:r w:rsidR="00D36F78">
        <w:rPr>
          <w:b/>
          <w:bCs/>
        </w:rPr>
        <w:t>November 2018 to January</w:t>
      </w:r>
      <w:r>
        <w:rPr>
          <w:b/>
          <w:bCs/>
        </w:rPr>
        <w:t xml:space="preserve"> 202</w:t>
      </w:r>
      <w:r w:rsidR="00D36F78">
        <w:rPr>
          <w:b/>
          <w:bCs/>
        </w:rPr>
        <w:t>3</w:t>
      </w:r>
    </w:p>
    <w:p w14:paraId="4FDBE803" w14:textId="1A3516DE" w:rsidR="00D36F78" w:rsidRDefault="00D36F78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03A83E4B" wp14:editId="0265C166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5119370" cy="3381375"/>
            <wp:effectExtent l="0" t="0" r="5080" b="0"/>
            <wp:wrapTopAndBottom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74" cy="3383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55B6D" w14:textId="78B6BE18" w:rsidR="00830DF9" w:rsidRDefault="00830DF9" w:rsidP="001D64A1">
      <w:pPr>
        <w:pStyle w:val="PHEBodycopy"/>
        <w:spacing w:line="320" w:lineRule="atLeast"/>
        <w:ind w:right="-46"/>
        <w:rPr>
          <w:b/>
          <w:bCs/>
        </w:rPr>
      </w:pPr>
    </w:p>
    <w:p w14:paraId="74D8FC59" w14:textId="2EF3E941" w:rsidR="00CC7525" w:rsidRPr="00347E81" w:rsidRDefault="00CC7525" w:rsidP="001D64A1">
      <w:pPr>
        <w:pStyle w:val="PHEBodycopy"/>
        <w:spacing w:line="320" w:lineRule="atLeast"/>
        <w:rPr>
          <w:i/>
          <w:iCs/>
        </w:rPr>
      </w:pPr>
      <w:r>
        <w:rPr>
          <w:rFonts w:cs="Arial"/>
          <w:i/>
          <w:iCs/>
          <w:color w:val="000000" w:themeColor="text1"/>
          <w:szCs w:val="24"/>
          <w:shd w:val="clear" w:color="auto" w:fill="FFFFFF"/>
        </w:rPr>
        <w:t>S</w:t>
      </w:r>
      <w:r w:rsidRPr="00347E81">
        <w:rPr>
          <w:rFonts w:cs="Arial"/>
          <w:i/>
          <w:iCs/>
          <w:color w:val="000000" w:themeColor="text1"/>
          <w:szCs w:val="24"/>
          <w:shd w:val="clear" w:color="auto" w:fill="FFFFFF"/>
        </w:rPr>
        <w:t xml:space="preserve">ource: </w:t>
      </w:r>
      <w:r w:rsidR="00D36F78" w:rsidRPr="00D36F78">
        <w:rPr>
          <w:rFonts w:cs="Arial"/>
          <w:i/>
          <w:iCs/>
          <w:color w:val="000000" w:themeColor="text1"/>
          <w:szCs w:val="24"/>
          <w:shd w:val="clear" w:color="auto" w:fill="FFFFFF"/>
        </w:rPr>
        <w:t>Vacancy Survey, Office for National Statistics</w:t>
      </w:r>
    </w:p>
    <w:p w14:paraId="2FC726C2" w14:textId="5BC96D71" w:rsidR="00830DF9" w:rsidRDefault="00830DF9" w:rsidP="001D64A1">
      <w:pPr>
        <w:pStyle w:val="PHEBodycopy"/>
        <w:spacing w:line="320" w:lineRule="atLeast"/>
        <w:ind w:right="-46"/>
        <w:rPr>
          <w:b/>
          <w:bCs/>
        </w:rPr>
      </w:pPr>
    </w:p>
    <w:p w14:paraId="1C4026F9" w14:textId="77777777" w:rsidR="001D64A1" w:rsidRDefault="001D64A1" w:rsidP="001D64A1">
      <w:pPr>
        <w:pStyle w:val="PHEBodycopy"/>
        <w:spacing w:line="320" w:lineRule="atLeast"/>
        <w:ind w:right="-46"/>
        <w:rPr>
          <w:b/>
          <w:bCs/>
        </w:rPr>
      </w:pPr>
    </w:p>
    <w:p w14:paraId="3086FD00" w14:textId="218881D0" w:rsidR="001D64A1" w:rsidRDefault="00D36F78" w:rsidP="001D64A1">
      <w:pPr>
        <w:pStyle w:val="PHEBodycopy"/>
        <w:spacing w:line="320" w:lineRule="atLeast"/>
        <w:ind w:right="-46"/>
        <w:rPr>
          <w:b/>
          <w:bCs/>
        </w:rPr>
      </w:pPr>
      <w:r w:rsidRPr="00D36F78">
        <w:rPr>
          <w:b/>
          <w:bCs/>
        </w:rPr>
        <w:lastRenderedPageBreak/>
        <w:t>Redundancy rate</w:t>
      </w:r>
    </w:p>
    <w:p w14:paraId="0CE8D9B7" w14:textId="77777777" w:rsidR="001D64A1" w:rsidRDefault="001D64A1" w:rsidP="001D64A1">
      <w:pPr>
        <w:pStyle w:val="PHEBodycopy"/>
        <w:spacing w:line="320" w:lineRule="atLeast"/>
        <w:ind w:right="-46"/>
        <w:rPr>
          <w:b/>
          <w:bCs/>
        </w:rPr>
      </w:pPr>
    </w:p>
    <w:p w14:paraId="34AE976A" w14:textId="3988C9EF" w:rsidR="00CF1C74" w:rsidRDefault="00A16B24" w:rsidP="001D64A1">
      <w:pPr>
        <w:pStyle w:val="PHEBodycopy"/>
        <w:spacing w:line="320" w:lineRule="atLeast"/>
        <w:ind w:right="-46"/>
      </w:pPr>
      <w:r>
        <w:t xml:space="preserve">Figure 2 shows the redundancy rate </w:t>
      </w:r>
      <w:r w:rsidR="00916250">
        <w:t xml:space="preserve">for all persons </w:t>
      </w:r>
      <w:r>
        <w:t>has continued to increase</w:t>
      </w:r>
      <w:r w:rsidR="00384967">
        <w:t xml:space="preserve"> </w:t>
      </w:r>
      <w:r w:rsidR="00916250">
        <w:t xml:space="preserve">to 3.5 per 1,000 employees </w:t>
      </w:r>
      <w:r w:rsidR="00384967">
        <w:t>for</w:t>
      </w:r>
      <w:r>
        <w:t xml:space="preserve"> the quarter October to December 2022</w:t>
      </w:r>
      <w:r w:rsidR="008A46B7">
        <w:t xml:space="preserve">, </w:t>
      </w:r>
      <w:r>
        <w:t>from 1.9 for</w:t>
      </w:r>
      <w:r w:rsidRPr="003C0BD7">
        <w:t xml:space="preserve"> the quarter </w:t>
      </w:r>
      <w:r>
        <w:t>April to June 2022.</w:t>
      </w:r>
      <w:r w:rsidR="008A46B7">
        <w:t xml:space="preserve"> </w:t>
      </w:r>
      <w:r w:rsidR="000A15AE">
        <w:t>This remains below</w:t>
      </w:r>
      <w:r w:rsidR="00F044E4">
        <w:t xml:space="preserve"> </w:t>
      </w:r>
      <w:r w:rsidR="001C55BF">
        <w:t xml:space="preserve">levels from a </w:t>
      </w:r>
      <w:r w:rsidR="00F044E4">
        <w:t>peak during the</w:t>
      </w:r>
      <w:r w:rsidR="000A15AE">
        <w:t xml:space="preserve"> pandemic where</w:t>
      </w:r>
      <w:r w:rsidR="001D64A1">
        <w:t xml:space="preserve"> the</w:t>
      </w:r>
      <w:r w:rsidR="000A15AE">
        <w:t xml:space="preserve"> redundancy rate </w:t>
      </w:r>
      <w:r w:rsidR="00F044E4">
        <w:t>reached</w:t>
      </w:r>
      <w:r w:rsidR="000A15AE">
        <w:t xml:space="preserve"> </w:t>
      </w:r>
      <w:r w:rsidR="00C02642">
        <w:t>12.</w:t>
      </w:r>
      <w:r w:rsidR="0049027C">
        <w:t>8</w:t>
      </w:r>
      <w:r w:rsidR="00C02642">
        <w:t xml:space="preserve"> per 1,000 employees for the quarter October to December 2020.</w:t>
      </w:r>
    </w:p>
    <w:p w14:paraId="223337D4" w14:textId="77777777" w:rsidR="00CF1C74" w:rsidRDefault="00CF1C74" w:rsidP="001D64A1">
      <w:pPr>
        <w:pStyle w:val="PHEBodycopy"/>
        <w:spacing w:line="320" w:lineRule="atLeast"/>
        <w:ind w:right="-46"/>
      </w:pPr>
    </w:p>
    <w:p w14:paraId="4CE8BD6E" w14:textId="4113A079" w:rsidR="00A16B24" w:rsidRDefault="00C41A44" w:rsidP="001D64A1">
      <w:pPr>
        <w:pStyle w:val="PHEBodycopy"/>
        <w:spacing w:line="320" w:lineRule="atLeast"/>
        <w:ind w:right="-46"/>
      </w:pPr>
      <w:r>
        <w:t>For the same period a</w:t>
      </w:r>
      <w:r w:rsidR="008A46B7">
        <w:t xml:space="preserve"> </w:t>
      </w:r>
      <w:r w:rsidR="00772802">
        <w:t>larger increase in redundancy</w:t>
      </w:r>
      <w:r w:rsidR="008A46B7">
        <w:t xml:space="preserve"> rate is observed for males</w:t>
      </w:r>
      <w:r w:rsidR="004B13EE">
        <w:t>. For the quarter October to December 2022 redundancy rate reached 4.5 per 1,000 employees</w:t>
      </w:r>
      <w:r w:rsidR="008732E0">
        <w:t xml:space="preserve">, an increase from 2.1 for </w:t>
      </w:r>
      <w:r w:rsidR="008732E0" w:rsidRPr="003C0BD7">
        <w:t xml:space="preserve">the quarter </w:t>
      </w:r>
      <w:r w:rsidR="008732E0">
        <w:t>April to June 2022.</w:t>
      </w:r>
      <w:r w:rsidR="00C02642">
        <w:t xml:space="preserve"> This figure is below </w:t>
      </w:r>
      <w:r w:rsidR="00C60D79">
        <w:t xml:space="preserve">the redundancy rate </w:t>
      </w:r>
      <w:r w:rsidR="00C4246C">
        <w:t>at</w:t>
      </w:r>
      <w:r w:rsidR="00C60D79">
        <w:t xml:space="preserve"> the peak of the pandemic (</w:t>
      </w:r>
      <w:r w:rsidR="0049027C">
        <w:t>14.7</w:t>
      </w:r>
      <w:r w:rsidR="00C60D79">
        <w:t xml:space="preserve"> per 1,000 employees</w:t>
      </w:r>
      <w:r w:rsidR="0049027C">
        <w:t xml:space="preserve"> for the quarter October to December 2020).</w:t>
      </w:r>
    </w:p>
    <w:p w14:paraId="12494F32" w14:textId="77777777" w:rsidR="00A16B24" w:rsidRPr="00A16B24" w:rsidRDefault="00A16B24" w:rsidP="001D64A1">
      <w:pPr>
        <w:pStyle w:val="PHEBodycopy"/>
        <w:spacing w:line="320" w:lineRule="atLeast"/>
        <w:ind w:right="-46"/>
      </w:pPr>
    </w:p>
    <w:p w14:paraId="1CB5D601" w14:textId="056EC26E" w:rsidR="00830DF9" w:rsidRPr="00830DF9" w:rsidRDefault="00D36F78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rFonts w:cs="Arial"/>
          <w:i/>
          <w:iCs/>
          <w:noProof/>
          <w:color w:val="000000" w:themeColor="text1"/>
          <w:szCs w:val="24"/>
          <w:shd w:val="clear" w:color="auto" w:fill="FFFFFF"/>
        </w:rPr>
        <w:drawing>
          <wp:anchor distT="0" distB="0" distL="114300" distR="114300" simplePos="0" relativeHeight="251660800" behindDoc="0" locked="0" layoutInCell="1" allowOverlap="1" wp14:anchorId="648C042E" wp14:editId="2C0C50AE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5731510" cy="3785870"/>
            <wp:effectExtent l="0" t="0" r="2540" b="5080"/>
            <wp:wrapTopAndBottom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DF9" w:rsidRPr="00830DF9">
        <w:rPr>
          <w:b/>
          <w:bCs/>
        </w:rPr>
        <w:t xml:space="preserve">Figure 2: </w:t>
      </w:r>
      <w:r w:rsidR="00A16B24">
        <w:rPr>
          <w:b/>
          <w:bCs/>
        </w:rPr>
        <w:t>The</w:t>
      </w:r>
      <w:r w:rsidRPr="00D36F78">
        <w:rPr>
          <w:b/>
          <w:bCs/>
        </w:rPr>
        <w:t xml:space="preserve"> ratio of redundancy level to the number of employees by sex</w:t>
      </w:r>
      <w:r w:rsidR="00830DF9" w:rsidRPr="00830DF9">
        <w:rPr>
          <w:b/>
          <w:bCs/>
        </w:rPr>
        <w:t xml:space="preserve">, </w:t>
      </w:r>
      <w:r>
        <w:rPr>
          <w:b/>
          <w:bCs/>
        </w:rPr>
        <w:t>January</w:t>
      </w:r>
      <w:r w:rsidR="00830DF9" w:rsidRPr="00830DF9">
        <w:rPr>
          <w:b/>
          <w:bCs/>
        </w:rPr>
        <w:t xml:space="preserve"> 201</w:t>
      </w:r>
      <w:r>
        <w:rPr>
          <w:b/>
          <w:bCs/>
        </w:rPr>
        <w:t>8</w:t>
      </w:r>
      <w:r w:rsidR="00830DF9" w:rsidRPr="00830DF9">
        <w:rPr>
          <w:b/>
          <w:bCs/>
        </w:rPr>
        <w:t xml:space="preserve"> to </w:t>
      </w:r>
      <w:r>
        <w:rPr>
          <w:b/>
          <w:bCs/>
        </w:rPr>
        <w:t>December</w:t>
      </w:r>
      <w:r w:rsidR="00B058B5">
        <w:rPr>
          <w:b/>
          <w:bCs/>
        </w:rPr>
        <w:t xml:space="preserve"> </w:t>
      </w:r>
      <w:r w:rsidR="00830DF9" w:rsidRPr="00830DF9">
        <w:rPr>
          <w:b/>
          <w:bCs/>
        </w:rPr>
        <w:t>202</w:t>
      </w:r>
      <w:r w:rsidR="00B058B5">
        <w:rPr>
          <w:b/>
          <w:bCs/>
        </w:rPr>
        <w:t>2</w:t>
      </w:r>
      <w:r w:rsidR="00830DF9" w:rsidRPr="00830DF9">
        <w:rPr>
          <w:b/>
          <w:bCs/>
        </w:rPr>
        <w:t>, England</w:t>
      </w:r>
      <w:r>
        <w:rPr>
          <w:b/>
          <w:bCs/>
        </w:rPr>
        <w:t xml:space="preserve"> </w:t>
      </w:r>
    </w:p>
    <w:p w14:paraId="4CAE0F4F" w14:textId="4684C852" w:rsidR="00830DF9" w:rsidRDefault="00830DF9" w:rsidP="001D64A1">
      <w:pPr>
        <w:pStyle w:val="PHEBodycopy"/>
        <w:spacing w:line="320" w:lineRule="atLeast"/>
        <w:ind w:right="-46"/>
      </w:pPr>
    </w:p>
    <w:p w14:paraId="1E59C4A0" w14:textId="5AD3B0E1" w:rsidR="00CC7525" w:rsidRPr="00347E81" w:rsidRDefault="00CC7525" w:rsidP="001D64A1">
      <w:pPr>
        <w:pStyle w:val="PHEBodycopy"/>
        <w:spacing w:line="320" w:lineRule="atLeast"/>
        <w:rPr>
          <w:i/>
          <w:iCs/>
        </w:rPr>
      </w:pPr>
      <w:r>
        <w:rPr>
          <w:rFonts w:cs="Arial"/>
          <w:i/>
          <w:iCs/>
          <w:color w:val="000000" w:themeColor="text1"/>
          <w:szCs w:val="24"/>
          <w:shd w:val="clear" w:color="auto" w:fill="FFFFFF"/>
        </w:rPr>
        <w:t>S</w:t>
      </w:r>
      <w:r w:rsidRPr="00347E81">
        <w:rPr>
          <w:rFonts w:cs="Arial"/>
          <w:i/>
          <w:iCs/>
          <w:color w:val="000000" w:themeColor="text1"/>
          <w:szCs w:val="24"/>
          <w:shd w:val="clear" w:color="auto" w:fill="FFFFFF"/>
        </w:rPr>
        <w:t xml:space="preserve">ource: </w:t>
      </w:r>
      <w:r w:rsidR="00D36F78" w:rsidRPr="00D36F78">
        <w:rPr>
          <w:rFonts w:cs="Arial"/>
          <w:i/>
          <w:iCs/>
          <w:color w:val="000000" w:themeColor="text1"/>
          <w:szCs w:val="24"/>
          <w:shd w:val="clear" w:color="auto" w:fill="FFFFFF"/>
        </w:rPr>
        <w:t>Labour Force Survey, Office for National Statistics</w:t>
      </w:r>
    </w:p>
    <w:p w14:paraId="4C394090" w14:textId="69100182" w:rsidR="00830DF9" w:rsidRDefault="00830DF9" w:rsidP="001D64A1">
      <w:pPr>
        <w:pStyle w:val="PHEBodycopy"/>
        <w:spacing w:line="320" w:lineRule="atLeast"/>
        <w:ind w:right="-46"/>
      </w:pPr>
    </w:p>
    <w:p w14:paraId="2616CA92" w14:textId="5365FD8F" w:rsidR="0039788E" w:rsidRDefault="0039788E" w:rsidP="001D64A1">
      <w:pPr>
        <w:pStyle w:val="PHEBodycopy"/>
        <w:spacing w:line="320" w:lineRule="atLeast"/>
        <w:ind w:right="-46"/>
      </w:pPr>
    </w:p>
    <w:p w14:paraId="0ABD2B79" w14:textId="1639703D" w:rsidR="0039788E" w:rsidRDefault="0039788E" w:rsidP="001D64A1">
      <w:pPr>
        <w:pStyle w:val="PHEBodycopy"/>
        <w:spacing w:line="320" w:lineRule="atLeast"/>
        <w:ind w:right="-46"/>
      </w:pPr>
    </w:p>
    <w:p w14:paraId="34939F3D" w14:textId="1E50C127" w:rsidR="0039788E" w:rsidRDefault="0039788E" w:rsidP="001D64A1">
      <w:pPr>
        <w:pStyle w:val="PHEBodycopy"/>
        <w:spacing w:line="320" w:lineRule="atLeast"/>
        <w:ind w:right="-46"/>
      </w:pPr>
    </w:p>
    <w:p w14:paraId="1B0EAE6A" w14:textId="1D45E9A8" w:rsidR="0039788E" w:rsidRDefault="0039788E" w:rsidP="001D64A1">
      <w:pPr>
        <w:pStyle w:val="PHEBodycopy"/>
        <w:spacing w:line="320" w:lineRule="atLeast"/>
        <w:ind w:right="-46"/>
      </w:pPr>
    </w:p>
    <w:p w14:paraId="1E21A102" w14:textId="77777777" w:rsidR="0039788E" w:rsidRDefault="0039788E" w:rsidP="001D64A1">
      <w:pPr>
        <w:pStyle w:val="PHEBodycopy"/>
        <w:spacing w:line="320" w:lineRule="atLeast"/>
        <w:ind w:right="-46"/>
      </w:pPr>
    </w:p>
    <w:p w14:paraId="1883D130" w14:textId="13FCECAA" w:rsidR="0039788E" w:rsidRDefault="00351B82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</w:rPr>
        <w:lastRenderedPageBreak/>
        <w:t>Wellbeing</w:t>
      </w:r>
    </w:p>
    <w:p w14:paraId="2CAF4D05" w14:textId="77777777" w:rsidR="001D64A1" w:rsidRDefault="001D64A1" w:rsidP="001D64A1">
      <w:pPr>
        <w:pStyle w:val="PHEBodycopy"/>
        <w:spacing w:line="320" w:lineRule="atLeast"/>
        <w:ind w:right="-46"/>
        <w:rPr>
          <w:b/>
          <w:bCs/>
        </w:rPr>
      </w:pPr>
    </w:p>
    <w:p w14:paraId="01343E37" w14:textId="2DE56DB7" w:rsidR="007435D3" w:rsidRPr="007435D3" w:rsidRDefault="001D64A1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</w:rPr>
        <w:t>L</w:t>
      </w:r>
      <w:r w:rsidR="000101E1">
        <w:rPr>
          <w:b/>
          <w:bCs/>
        </w:rPr>
        <w:t xml:space="preserve">ow </w:t>
      </w:r>
      <w:r w:rsidR="00351B82">
        <w:rPr>
          <w:b/>
          <w:bCs/>
        </w:rPr>
        <w:t xml:space="preserve">life satisfaction  </w:t>
      </w:r>
    </w:p>
    <w:p w14:paraId="4F79B67D" w14:textId="5DD35626" w:rsidR="007435D3" w:rsidRDefault="007435D3" w:rsidP="001D64A1">
      <w:pPr>
        <w:pStyle w:val="PHEBodycopy"/>
        <w:spacing w:line="320" w:lineRule="atLeast"/>
        <w:ind w:right="-46"/>
      </w:pPr>
    </w:p>
    <w:p w14:paraId="1527A0D1" w14:textId="77777777" w:rsidR="001D64A1" w:rsidRDefault="00664DA8" w:rsidP="001D64A1">
      <w:pPr>
        <w:pStyle w:val="PHEBodycopy"/>
        <w:spacing w:line="320" w:lineRule="atLeast"/>
        <w:ind w:right="-46"/>
      </w:pPr>
      <w:r w:rsidRPr="00664DA8">
        <w:t xml:space="preserve">This data enables us to explore whether the </w:t>
      </w:r>
      <w:r w:rsidR="00592F90">
        <w:t>pandemic has</w:t>
      </w:r>
      <w:r w:rsidRPr="00664DA8">
        <w:t xml:space="preserve"> </w:t>
      </w:r>
      <w:r w:rsidR="00592F90">
        <w:t>had an</w:t>
      </w:r>
      <w:r w:rsidR="00055092">
        <w:t xml:space="preserve"> </w:t>
      </w:r>
      <w:r w:rsidRPr="00664DA8">
        <w:t xml:space="preserve">impact on the percentage of people experiencing low levels of life satisfaction. </w:t>
      </w:r>
    </w:p>
    <w:p w14:paraId="44088491" w14:textId="77777777" w:rsidR="001D64A1" w:rsidRDefault="001D64A1" w:rsidP="001D64A1">
      <w:pPr>
        <w:pStyle w:val="PHEBodycopy"/>
        <w:spacing w:line="320" w:lineRule="atLeast"/>
        <w:ind w:right="-46"/>
      </w:pPr>
    </w:p>
    <w:p w14:paraId="06828B5B" w14:textId="2C513FC7" w:rsidR="007435D3" w:rsidRDefault="00664DA8" w:rsidP="001D64A1">
      <w:pPr>
        <w:pStyle w:val="PHEBodycopy"/>
        <w:spacing w:line="320" w:lineRule="atLeast"/>
        <w:ind w:right="-46"/>
      </w:pPr>
      <w:r w:rsidRPr="00664DA8">
        <w:t>Figure 3 shows the percentage of respondents with a low life satisfaction score. This percentage has been increasing since December 2021. The November 2022 figure (10.3%) was higher than both the 2019 baseline (5.7%) and October 2021 (8.4%).</w:t>
      </w:r>
      <w:r w:rsidR="00965E8F">
        <w:t xml:space="preserve"> However, it was 0.1</w:t>
      </w:r>
      <w:r w:rsidR="00FC2811">
        <w:t xml:space="preserve"> percentage points</w:t>
      </w:r>
      <w:r w:rsidR="00965E8F">
        <w:t xml:space="preserve"> lower than the</w:t>
      </w:r>
      <w:r w:rsidRPr="00664DA8">
        <w:t xml:space="preserve"> November 2020 (10.4%) when the second lockdown came into force in England. </w:t>
      </w:r>
    </w:p>
    <w:p w14:paraId="769FB61E" w14:textId="77777777" w:rsidR="00664DA8" w:rsidRDefault="00664DA8" w:rsidP="001D64A1">
      <w:pPr>
        <w:pStyle w:val="PHEBodycopy"/>
        <w:spacing w:line="320" w:lineRule="atLeast"/>
        <w:ind w:right="-46"/>
      </w:pPr>
    </w:p>
    <w:p w14:paraId="78FAE7C8" w14:textId="51C5714C" w:rsidR="000101E1" w:rsidRPr="000101E1" w:rsidRDefault="007435D3" w:rsidP="001D64A1">
      <w:pPr>
        <w:pStyle w:val="PHEBodycopy"/>
        <w:spacing w:line="320" w:lineRule="atLeast"/>
        <w:ind w:right="-46"/>
      </w:pPr>
      <w:r w:rsidRPr="007435D3">
        <w:rPr>
          <w:b/>
          <w:bCs/>
        </w:rPr>
        <w:t xml:space="preserve">Figure </w:t>
      </w:r>
      <w:r w:rsidR="009E0DD8">
        <w:rPr>
          <w:b/>
          <w:bCs/>
        </w:rPr>
        <w:t>3</w:t>
      </w:r>
      <w:r w:rsidRPr="007435D3">
        <w:rPr>
          <w:b/>
          <w:bCs/>
        </w:rPr>
        <w:t xml:space="preserve">: </w:t>
      </w:r>
      <w:r w:rsidR="000101E1">
        <w:rPr>
          <w:b/>
          <w:bCs/>
        </w:rPr>
        <w:t xml:space="preserve">The percentage of survey respondents with low life satisfaction (score 0-4) in England, June 2020 to November 2022 </w:t>
      </w:r>
    </w:p>
    <w:p w14:paraId="253CD920" w14:textId="177AA657" w:rsidR="007435D3" w:rsidRPr="007435D3" w:rsidRDefault="000101E1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824" behindDoc="0" locked="0" layoutInCell="1" allowOverlap="1" wp14:anchorId="663A7373" wp14:editId="1CEA23F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2621280"/>
            <wp:effectExtent l="0" t="0" r="2540" b="7620"/>
            <wp:wrapTopAndBottom/>
            <wp:docPr id="12" name="Picture 12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bar chart, histo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28AC8" w14:textId="4F66A170" w:rsidR="008C1BDD" w:rsidRDefault="008C1BDD" w:rsidP="001D64A1">
      <w:pPr>
        <w:pStyle w:val="PHEBodycopy"/>
        <w:spacing w:line="320" w:lineRule="atLeast"/>
        <w:ind w:right="-46"/>
      </w:pPr>
    </w:p>
    <w:p w14:paraId="5BA0B18B" w14:textId="5C4F02FF" w:rsidR="007435D3" w:rsidRDefault="008C1BDD" w:rsidP="001D64A1">
      <w:pPr>
        <w:pStyle w:val="PHEBodycopy"/>
        <w:spacing w:line="320" w:lineRule="atLeast"/>
        <w:ind w:right="-46"/>
        <w:rPr>
          <w:i/>
          <w:iCs/>
        </w:rPr>
      </w:pPr>
      <w:r>
        <w:rPr>
          <w:i/>
          <w:iCs/>
        </w:rPr>
        <w:t xml:space="preserve">Source: </w:t>
      </w:r>
      <w:r w:rsidR="000101E1" w:rsidRPr="000101E1">
        <w:rPr>
          <w:i/>
          <w:iCs/>
        </w:rPr>
        <w:t>PHE/OHID analysis of Opinions and Lifestyle Survey data from Office for National Statistics</w:t>
      </w:r>
    </w:p>
    <w:p w14:paraId="3ECE56A4" w14:textId="7A9E6028" w:rsidR="00652EF2" w:rsidRDefault="00652EF2" w:rsidP="001D64A1">
      <w:pPr>
        <w:pStyle w:val="PHEBodycopy"/>
        <w:spacing w:line="320" w:lineRule="atLeast"/>
        <w:ind w:right="-46"/>
      </w:pPr>
    </w:p>
    <w:p w14:paraId="5DC72505" w14:textId="15D28F43" w:rsidR="00652EF2" w:rsidRDefault="00652EF2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</w:rPr>
        <w:t xml:space="preserve">Behavioural risk factors </w:t>
      </w:r>
    </w:p>
    <w:p w14:paraId="49CEB5FC" w14:textId="77777777" w:rsidR="001D64A1" w:rsidRDefault="001D64A1" w:rsidP="001D64A1">
      <w:pPr>
        <w:pStyle w:val="PHEBodycopy"/>
        <w:spacing w:line="320" w:lineRule="atLeast"/>
        <w:ind w:right="-46"/>
        <w:rPr>
          <w:b/>
          <w:bCs/>
        </w:rPr>
      </w:pPr>
    </w:p>
    <w:p w14:paraId="42DD0F70" w14:textId="6D3D9F02" w:rsidR="00652EF2" w:rsidRPr="00F956C1" w:rsidRDefault="00652EF2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</w:rPr>
        <w:t>Child physical activity – Active lives survey</w:t>
      </w:r>
    </w:p>
    <w:p w14:paraId="6319E679" w14:textId="02DD42A2" w:rsidR="00F956C1" w:rsidRDefault="00F956C1" w:rsidP="001D64A1">
      <w:pPr>
        <w:pStyle w:val="PHEBodycopy"/>
        <w:spacing w:line="320" w:lineRule="atLeast"/>
        <w:ind w:right="-46"/>
      </w:pPr>
    </w:p>
    <w:p w14:paraId="5C4F5867" w14:textId="20E79018" w:rsidR="00786AB5" w:rsidRDefault="00786AB5" w:rsidP="001D64A1">
      <w:pPr>
        <w:pStyle w:val="PHEBodycopy"/>
        <w:spacing w:line="320" w:lineRule="atLeast"/>
        <w:ind w:right="-46"/>
      </w:pPr>
      <w:r>
        <w:t xml:space="preserve">Figure </w:t>
      </w:r>
      <w:r w:rsidR="00956E70">
        <w:t>4</w:t>
      </w:r>
      <w:r>
        <w:t xml:space="preserve"> shows that for all three school terms of the 2021 to 2022 academic year the percentage of physically active children (aged 5 to 16 years) was higher than the respective terms of the 2020 to 2021 academic year and have returned to pre-pandemic levels.</w:t>
      </w:r>
      <w:r w:rsidR="001D64A1">
        <w:t xml:space="preserve"> </w:t>
      </w:r>
      <w:r w:rsidRPr="00F02EB5">
        <w:t xml:space="preserve">The </w:t>
      </w:r>
      <w:r>
        <w:t xml:space="preserve">UK </w:t>
      </w:r>
      <w:r w:rsidRPr="00F02EB5">
        <w:t>Chief Medical Officer</w:t>
      </w:r>
      <w:r>
        <w:t>s</w:t>
      </w:r>
      <w:r w:rsidRPr="00F02EB5">
        <w:t xml:space="preserve"> (CMO) currently recommend that children and young people (5</w:t>
      </w:r>
      <w:r w:rsidR="00D34BFE">
        <w:t xml:space="preserve"> to </w:t>
      </w:r>
      <w:r w:rsidRPr="00F02EB5">
        <w:t>1</w:t>
      </w:r>
      <w:r>
        <w:t>8</w:t>
      </w:r>
      <w:r w:rsidRPr="00F02EB5">
        <w:t xml:space="preserve"> years) are physically active for an average of at least 60 minutes per day across the week.</w:t>
      </w:r>
      <w:r>
        <w:t xml:space="preserve"> </w:t>
      </w:r>
    </w:p>
    <w:p w14:paraId="1B91386E" w14:textId="77777777" w:rsidR="001D64A1" w:rsidRDefault="001D64A1" w:rsidP="001D64A1">
      <w:pPr>
        <w:pStyle w:val="PHEBodycopy"/>
        <w:spacing w:line="320" w:lineRule="atLeast"/>
        <w:ind w:right="-46"/>
      </w:pPr>
    </w:p>
    <w:p w14:paraId="6AFF4873" w14:textId="1764F075" w:rsidR="00786AB5" w:rsidRPr="00C0595E" w:rsidRDefault="00786AB5" w:rsidP="001D64A1">
      <w:pPr>
        <w:pStyle w:val="PHEBodycopy"/>
        <w:spacing w:line="320" w:lineRule="atLeast"/>
        <w:ind w:right="-46"/>
      </w:pPr>
      <w:r w:rsidRPr="00C0595E">
        <w:rPr>
          <w:b/>
          <w:bCs/>
        </w:rPr>
        <w:t xml:space="preserve">Figure </w:t>
      </w:r>
      <w:r w:rsidR="00956E70">
        <w:rPr>
          <w:b/>
          <w:bCs/>
        </w:rPr>
        <w:t>4</w:t>
      </w:r>
      <w:r w:rsidRPr="00C0595E">
        <w:rPr>
          <w:b/>
          <w:bCs/>
        </w:rPr>
        <w:t xml:space="preserve">: </w:t>
      </w:r>
      <w:r w:rsidRPr="00C0595E">
        <w:rPr>
          <w:rFonts w:ascii="Helvetica" w:hAnsi="Helvetica" w:cs="Helvetica"/>
          <w:b/>
          <w:bCs/>
          <w:shd w:val="clear" w:color="auto" w:fill="FFFFFF"/>
        </w:rPr>
        <w:t xml:space="preserve">Percentage of children </w:t>
      </w:r>
      <w:r>
        <w:rPr>
          <w:rFonts w:ascii="Helvetica" w:hAnsi="Helvetica" w:cs="Helvetica"/>
          <w:b/>
          <w:bCs/>
          <w:shd w:val="clear" w:color="auto" w:fill="FFFFFF"/>
        </w:rPr>
        <w:t xml:space="preserve">and young people </w:t>
      </w:r>
      <w:r w:rsidRPr="00C0595E">
        <w:rPr>
          <w:rFonts w:ascii="Helvetica" w:hAnsi="Helvetica" w:cs="Helvetica"/>
          <w:b/>
          <w:bCs/>
          <w:shd w:val="clear" w:color="auto" w:fill="FFFFFF"/>
        </w:rPr>
        <w:t>aged 5-16 years that met the UK Chief Medical Officers' recommendations for physical activity, England, Autumn 2018 to Summer 2022</w:t>
      </w:r>
      <w:r w:rsidRPr="00C0595E">
        <w:rPr>
          <w:rFonts w:ascii="Helvetica" w:hAnsi="Helvetica" w:cs="Helvetica"/>
          <w:shd w:val="clear" w:color="auto" w:fill="FFFFFF"/>
        </w:rPr>
        <w:t xml:space="preserve"> </w:t>
      </w:r>
    </w:p>
    <w:p w14:paraId="5E8B463B" w14:textId="77777777" w:rsidR="00786AB5" w:rsidRPr="00C0595E" w:rsidRDefault="00786AB5" w:rsidP="001D64A1">
      <w:pPr>
        <w:pStyle w:val="PHEBodycopy"/>
        <w:spacing w:line="320" w:lineRule="atLeast"/>
        <w:ind w:right="-46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9658E9B" wp14:editId="381CA521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6286500" cy="288988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1" r="786"/>
                    <a:stretch/>
                  </pic:blipFill>
                  <pic:spPr bwMode="auto">
                    <a:xfrm>
                      <a:off x="0" y="0"/>
                      <a:ext cx="6300788" cy="289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2395A" w14:textId="77777777" w:rsidR="00786AB5" w:rsidRDefault="00786AB5" w:rsidP="001D64A1">
      <w:pPr>
        <w:pStyle w:val="PHEBodycopy"/>
        <w:spacing w:line="320" w:lineRule="atLeast"/>
        <w:ind w:right="-46"/>
        <w:rPr>
          <w:noProof/>
        </w:rPr>
      </w:pPr>
    </w:p>
    <w:p w14:paraId="762EE518" w14:textId="77777777" w:rsidR="00786AB5" w:rsidRPr="00C0595E" w:rsidRDefault="00786AB5" w:rsidP="001D64A1">
      <w:pPr>
        <w:pStyle w:val="PHEBodycopy"/>
        <w:spacing w:line="320" w:lineRule="atLeast"/>
        <w:ind w:right="-46"/>
      </w:pPr>
    </w:p>
    <w:p w14:paraId="0017BACA" w14:textId="77777777" w:rsidR="00786AB5" w:rsidRPr="00C0595E" w:rsidRDefault="00786AB5" w:rsidP="001D64A1">
      <w:pPr>
        <w:shd w:val="clear" w:color="auto" w:fill="FFFFFF"/>
        <w:spacing w:after="0" w:line="320" w:lineRule="atLeast"/>
        <w:rPr>
          <w:rFonts w:eastAsia="Times New Roman"/>
          <w:i/>
          <w:iCs/>
          <w:lang w:eastAsia="en-GB"/>
        </w:rPr>
      </w:pPr>
      <w:r w:rsidRPr="00C0595E">
        <w:rPr>
          <w:rFonts w:eastAsia="Times New Roman"/>
          <w:i/>
          <w:iCs/>
          <w:lang w:eastAsia="en-GB"/>
        </w:rPr>
        <w:t>Source: Active Lives Children and Young People Survey, Sport England</w:t>
      </w:r>
    </w:p>
    <w:p w14:paraId="49ACBB64" w14:textId="69F4E732" w:rsidR="00F02EB5" w:rsidRPr="00C0595E" w:rsidRDefault="00F02EB5" w:rsidP="001D64A1">
      <w:pPr>
        <w:shd w:val="clear" w:color="auto" w:fill="FFFFFF"/>
        <w:spacing w:after="0" w:line="320" w:lineRule="atLeast"/>
        <w:rPr>
          <w:rFonts w:eastAsia="Times New Roman"/>
          <w:i/>
          <w:iCs/>
          <w:lang w:eastAsia="en-GB"/>
        </w:rPr>
      </w:pPr>
    </w:p>
    <w:p w14:paraId="4A44ED6B" w14:textId="251A34BA" w:rsidR="00652EF2" w:rsidRDefault="001D64A1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</w:rPr>
        <w:t>Impact on h</w:t>
      </w:r>
      <w:r w:rsidR="00652EF2" w:rsidRPr="00C0595E">
        <w:rPr>
          <w:b/>
          <w:bCs/>
        </w:rPr>
        <w:t>ealthcare</w:t>
      </w:r>
    </w:p>
    <w:p w14:paraId="4D31A91D" w14:textId="77777777" w:rsidR="001D64A1" w:rsidRPr="00C0595E" w:rsidRDefault="001D64A1" w:rsidP="001D64A1">
      <w:pPr>
        <w:pStyle w:val="PHEBodycopy"/>
        <w:spacing w:line="320" w:lineRule="atLeast"/>
        <w:ind w:right="-46"/>
        <w:rPr>
          <w:b/>
          <w:bCs/>
        </w:rPr>
      </w:pPr>
    </w:p>
    <w:p w14:paraId="0AAF5B4F" w14:textId="0D877168" w:rsidR="00837863" w:rsidRDefault="00652EF2" w:rsidP="001D64A1">
      <w:pPr>
        <w:pStyle w:val="PHEBodycopy"/>
        <w:spacing w:line="320" w:lineRule="atLeast"/>
        <w:ind w:right="-46"/>
        <w:rPr>
          <w:b/>
          <w:bCs/>
        </w:rPr>
      </w:pPr>
      <w:r w:rsidRPr="00C0595E">
        <w:rPr>
          <w:b/>
          <w:bCs/>
        </w:rPr>
        <w:t>Breast screenin</w:t>
      </w:r>
      <w:r w:rsidR="00F02EB5" w:rsidRPr="00C0595E">
        <w:rPr>
          <w:b/>
          <w:bCs/>
        </w:rPr>
        <w:t>g</w:t>
      </w:r>
      <w:r w:rsidR="00723B79">
        <w:rPr>
          <w:b/>
          <w:bCs/>
        </w:rPr>
        <w:t xml:space="preserve"> </w:t>
      </w:r>
      <w:r w:rsidR="001D64A1">
        <w:rPr>
          <w:b/>
          <w:bCs/>
        </w:rPr>
        <w:t>round length</w:t>
      </w:r>
    </w:p>
    <w:p w14:paraId="20165343" w14:textId="77777777" w:rsidR="001D64A1" w:rsidRPr="00C0595E" w:rsidRDefault="001D64A1" w:rsidP="001D64A1">
      <w:pPr>
        <w:pStyle w:val="PHEBodycopy"/>
        <w:spacing w:line="320" w:lineRule="atLeast"/>
        <w:ind w:right="-46"/>
        <w:rPr>
          <w:b/>
          <w:bCs/>
        </w:rPr>
      </w:pPr>
    </w:p>
    <w:p w14:paraId="43437357" w14:textId="4F406B98" w:rsidR="00B869CB" w:rsidRDefault="00B869CB" w:rsidP="001D64A1">
      <w:pPr>
        <w:pStyle w:val="PHEBodycopy"/>
        <w:spacing w:line="320" w:lineRule="atLeast"/>
        <w:ind w:right="-46"/>
      </w:pPr>
      <w:r>
        <w:t>Breast screening is offered to women aged 50 to 71 years of age every 3 years to maximise the chances of finding breast cancers at an early stage when they are too small to see or feel.</w:t>
      </w:r>
      <w:r w:rsidR="00BF387F">
        <w:t xml:space="preserve"> </w:t>
      </w:r>
      <w:r>
        <w:t xml:space="preserve">This indicator </w:t>
      </w:r>
      <w:r w:rsidR="001D4AAE" w:rsidRPr="001D4AAE">
        <w:t>aims to show the restoration of breast screening services following a pause in invitations between April and June 2020.</w:t>
      </w:r>
    </w:p>
    <w:p w14:paraId="6F2ACE81" w14:textId="58412273" w:rsidR="00B869CB" w:rsidRDefault="00B869CB" w:rsidP="001D64A1">
      <w:pPr>
        <w:pStyle w:val="PHEBodycopy"/>
        <w:spacing w:line="320" w:lineRule="atLeast"/>
        <w:ind w:right="-46"/>
      </w:pPr>
    </w:p>
    <w:p w14:paraId="55D36BB8" w14:textId="6879AA29" w:rsidR="00B869CB" w:rsidRDefault="00B869CB" w:rsidP="001D64A1">
      <w:pPr>
        <w:pStyle w:val="PHEBodycopy"/>
        <w:spacing w:line="320" w:lineRule="atLeast"/>
        <w:ind w:right="-46"/>
      </w:pPr>
      <w:r>
        <w:t xml:space="preserve">Figure </w:t>
      </w:r>
      <w:r w:rsidR="00956E70">
        <w:t>5</w:t>
      </w:r>
      <w:r>
        <w:t xml:space="preserve"> shows the proportion of women </w:t>
      </w:r>
      <w:r w:rsidR="001D4AAE">
        <w:t>aged 50 to 73 years who were offered a subsequent appointment for breast screening within 36 months of their last attend</w:t>
      </w:r>
      <w:r w:rsidR="00BF387F">
        <w:t>ed</w:t>
      </w:r>
      <w:r w:rsidR="001D4AAE">
        <w:t xml:space="preserve"> appointment or </w:t>
      </w:r>
      <w:r w:rsidR="00BF387F">
        <w:t xml:space="preserve">date of first offered appointment for women who did not attend. The proportion has continued to increase to 54.3% in Quarter 1 2022/23, from 45.7% in Quarter 4 of 2021/22. </w:t>
      </w:r>
      <w:r w:rsidR="00BF387F">
        <w:rPr>
          <w:rStyle w:val="ui-provider"/>
        </w:rPr>
        <w:t xml:space="preserve">Breast cancer screening </w:t>
      </w:r>
      <w:r w:rsidR="000F47F4">
        <w:rPr>
          <w:rStyle w:val="ui-provider"/>
        </w:rPr>
        <w:t xml:space="preserve">services </w:t>
      </w:r>
      <w:r w:rsidR="00BF387F">
        <w:rPr>
          <w:rStyle w:val="ui-provider"/>
        </w:rPr>
        <w:t>ha</w:t>
      </w:r>
      <w:r w:rsidR="000F47F4">
        <w:rPr>
          <w:rStyle w:val="ui-provider"/>
        </w:rPr>
        <w:t>ve</w:t>
      </w:r>
      <w:r w:rsidR="00BF387F">
        <w:rPr>
          <w:rStyle w:val="ui-provider"/>
        </w:rPr>
        <w:t xml:space="preserve"> been negatively affected by the COVID-19 pandemic and </w:t>
      </w:r>
      <w:r w:rsidR="00723B79">
        <w:rPr>
          <w:rStyle w:val="ui-provider"/>
        </w:rPr>
        <w:t xml:space="preserve">this </w:t>
      </w:r>
      <w:r w:rsidR="000F47F4">
        <w:rPr>
          <w:rStyle w:val="ui-provider"/>
        </w:rPr>
        <w:t xml:space="preserve">proportion </w:t>
      </w:r>
      <w:r w:rsidR="00BF387F">
        <w:rPr>
          <w:rStyle w:val="ui-provider"/>
        </w:rPr>
        <w:t xml:space="preserve">remains below pre-pandemic levels of </w:t>
      </w:r>
      <w:r w:rsidR="000F47F4">
        <w:rPr>
          <w:rStyle w:val="ui-provider"/>
        </w:rPr>
        <w:t>81.</w:t>
      </w:r>
      <w:r w:rsidR="0083617E">
        <w:rPr>
          <w:rStyle w:val="ui-provider"/>
        </w:rPr>
        <w:t>8</w:t>
      </w:r>
      <w:r w:rsidR="000F47F4">
        <w:rPr>
          <w:rStyle w:val="ui-provider"/>
        </w:rPr>
        <w:t>%</w:t>
      </w:r>
      <w:r w:rsidR="002A4039">
        <w:rPr>
          <w:rStyle w:val="ui-provider"/>
        </w:rPr>
        <w:t xml:space="preserve"> (Quarter 4 2019/20)</w:t>
      </w:r>
      <w:r w:rsidR="00D53373">
        <w:rPr>
          <w:rStyle w:val="ui-provider"/>
        </w:rPr>
        <w:t xml:space="preserve"> </w:t>
      </w:r>
      <w:r w:rsidR="00D53373">
        <w:t>and below the ‘acceptable level’ for this standard 90%</w:t>
      </w:r>
      <w:r w:rsidR="00D34BFE">
        <w:t xml:space="preserve"> and over</w:t>
      </w:r>
      <w:r w:rsidR="00D53373">
        <w:rPr>
          <w:rStyle w:val="ui-provider"/>
        </w:rPr>
        <w:t>.</w:t>
      </w:r>
    </w:p>
    <w:p w14:paraId="3305753E" w14:textId="77777777" w:rsidR="00B869CB" w:rsidRDefault="00B869CB" w:rsidP="001D64A1">
      <w:pPr>
        <w:pStyle w:val="PHEBodycopy"/>
        <w:spacing w:line="320" w:lineRule="atLeast"/>
        <w:ind w:right="-46"/>
      </w:pPr>
    </w:p>
    <w:p w14:paraId="1D861187" w14:textId="74BFE777" w:rsidR="00F02EB5" w:rsidRDefault="00B869CB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44744DD4" wp14:editId="1B0E4D03">
            <wp:simplePos x="0" y="0"/>
            <wp:positionH relativeFrom="column">
              <wp:posOffset>-47625</wp:posOffset>
            </wp:positionH>
            <wp:positionV relativeFrom="paragraph">
              <wp:posOffset>739775</wp:posOffset>
            </wp:positionV>
            <wp:extent cx="5731510" cy="2621280"/>
            <wp:effectExtent l="0" t="0" r="2540" b="7620"/>
            <wp:wrapTopAndBottom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EB5">
        <w:rPr>
          <w:b/>
          <w:bCs/>
        </w:rPr>
        <w:t xml:space="preserve">Figure </w:t>
      </w:r>
      <w:r w:rsidR="00956E70">
        <w:rPr>
          <w:b/>
          <w:bCs/>
        </w:rPr>
        <w:t>5</w:t>
      </w:r>
      <w:r w:rsidR="00F02EB5">
        <w:rPr>
          <w:b/>
          <w:bCs/>
        </w:rPr>
        <w:t xml:space="preserve">: </w:t>
      </w:r>
      <w:r w:rsidR="00F02EB5" w:rsidRPr="00F02EB5">
        <w:rPr>
          <w:b/>
          <w:bCs/>
        </w:rPr>
        <w:t>Proportion of women eligible for breast screening whose date of first offered appointment is less than or equal to 36 months of their previous episode</w:t>
      </w:r>
      <w:r>
        <w:rPr>
          <w:b/>
          <w:bCs/>
        </w:rPr>
        <w:t>,</w:t>
      </w:r>
      <w:r w:rsidR="00F02EB5" w:rsidRPr="00F02EB5">
        <w:rPr>
          <w:b/>
          <w:bCs/>
        </w:rPr>
        <w:t xml:space="preserve"> England</w:t>
      </w:r>
      <w:r w:rsidR="00D53373">
        <w:rPr>
          <w:b/>
          <w:bCs/>
        </w:rPr>
        <w:t>, Q2 2017/18 to Q1 2022/23</w:t>
      </w:r>
    </w:p>
    <w:p w14:paraId="34DB3334" w14:textId="23149BA0" w:rsidR="00F02EB5" w:rsidRDefault="00F02EB5" w:rsidP="001D64A1">
      <w:pPr>
        <w:pStyle w:val="PHEBodycopy"/>
        <w:spacing w:line="320" w:lineRule="atLeast"/>
        <w:ind w:right="-46"/>
        <w:rPr>
          <w:b/>
          <w:bCs/>
        </w:rPr>
      </w:pPr>
    </w:p>
    <w:p w14:paraId="27E24225" w14:textId="46C99715" w:rsidR="004B02FD" w:rsidRDefault="004B02FD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</w:rPr>
        <w:t>Chart note:</w:t>
      </w:r>
    </w:p>
    <w:p w14:paraId="2E103B77" w14:textId="77777777" w:rsidR="004B02FD" w:rsidRPr="00F02EB5" w:rsidRDefault="004B02FD" w:rsidP="001D64A1">
      <w:pPr>
        <w:pStyle w:val="PHEBodycopy"/>
        <w:spacing w:line="320" w:lineRule="atLeast"/>
        <w:ind w:right="-46"/>
        <w:rPr>
          <w:rFonts w:cs="Arial"/>
          <w:b/>
          <w:bCs/>
        </w:rPr>
      </w:pPr>
      <w:r w:rsidRPr="00F02EB5">
        <w:rPr>
          <w:rFonts w:cs="Arial"/>
          <w:color w:val="333333"/>
          <w:shd w:val="clear" w:color="auto" w:fill="FFFFFF"/>
        </w:rPr>
        <w:t>Gap in line indicates where data have been withdrawn due to poor data quality during the pandemic and the change in the IT reporting system.</w:t>
      </w:r>
    </w:p>
    <w:p w14:paraId="2E45CCAB" w14:textId="77777777" w:rsidR="004B02FD" w:rsidRDefault="004B02FD" w:rsidP="001D64A1">
      <w:pPr>
        <w:pStyle w:val="PHEBodycopy"/>
        <w:spacing w:line="320" w:lineRule="atLeast"/>
        <w:ind w:right="-46"/>
        <w:rPr>
          <w:i/>
          <w:iCs/>
        </w:rPr>
      </w:pPr>
    </w:p>
    <w:p w14:paraId="5C6A0454" w14:textId="3FC61CA5" w:rsidR="00F02EB5" w:rsidRPr="00F02EB5" w:rsidRDefault="00F02EB5" w:rsidP="001D64A1">
      <w:pPr>
        <w:pStyle w:val="PHEBodycopy"/>
        <w:spacing w:line="320" w:lineRule="atLeast"/>
        <w:ind w:right="-46"/>
        <w:rPr>
          <w:i/>
          <w:iCs/>
        </w:rPr>
      </w:pPr>
      <w:r w:rsidRPr="00F02EB5">
        <w:rPr>
          <w:i/>
          <w:iCs/>
        </w:rPr>
        <w:t xml:space="preserve">Source: Screening key performance indicators, NHS </w:t>
      </w:r>
      <w:proofErr w:type="gramStart"/>
      <w:r w:rsidRPr="00F02EB5">
        <w:rPr>
          <w:i/>
          <w:iCs/>
        </w:rPr>
        <w:t>England</w:t>
      </w:r>
      <w:proofErr w:type="gramEnd"/>
      <w:r w:rsidRPr="00F02EB5">
        <w:rPr>
          <w:i/>
          <w:iCs/>
        </w:rPr>
        <w:t xml:space="preserve"> and NHS Improvement</w:t>
      </w:r>
    </w:p>
    <w:p w14:paraId="6DB3E231" w14:textId="7728E1B9" w:rsidR="00F02EB5" w:rsidRDefault="00F02EB5" w:rsidP="001D64A1">
      <w:pPr>
        <w:pStyle w:val="PHEBodycopy"/>
        <w:spacing w:line="320" w:lineRule="atLeast"/>
        <w:ind w:right="-46"/>
        <w:rPr>
          <w:b/>
          <w:bCs/>
        </w:rPr>
      </w:pPr>
    </w:p>
    <w:p w14:paraId="15AB3447" w14:textId="0B2A8E70" w:rsidR="00F40947" w:rsidRDefault="00F40947" w:rsidP="001D64A1">
      <w:pPr>
        <w:pStyle w:val="PHEBodycopy"/>
        <w:spacing w:line="320" w:lineRule="atLeast"/>
        <w:ind w:right="-46"/>
        <w:rPr>
          <w:b/>
          <w:bCs/>
        </w:rPr>
      </w:pPr>
      <w:r w:rsidRPr="00C0595E">
        <w:rPr>
          <w:b/>
          <w:bCs/>
        </w:rPr>
        <w:t>Breast screening</w:t>
      </w:r>
      <w:r>
        <w:rPr>
          <w:b/>
          <w:bCs/>
        </w:rPr>
        <w:t xml:space="preserve"> uptake</w:t>
      </w:r>
    </w:p>
    <w:p w14:paraId="7AA727D0" w14:textId="77777777" w:rsidR="0039788E" w:rsidRDefault="0039788E" w:rsidP="001D64A1">
      <w:pPr>
        <w:pStyle w:val="PHEBodycopy"/>
        <w:spacing w:line="320" w:lineRule="atLeast"/>
        <w:ind w:right="-46"/>
        <w:rPr>
          <w:b/>
          <w:bCs/>
        </w:rPr>
      </w:pPr>
    </w:p>
    <w:p w14:paraId="213FE101" w14:textId="361B62A1" w:rsidR="00F02EB5" w:rsidRPr="00780DB8" w:rsidRDefault="00CB47D0" w:rsidP="001D64A1">
      <w:pPr>
        <w:pStyle w:val="PHEBodycopy"/>
        <w:spacing w:line="320" w:lineRule="atLeast"/>
        <w:ind w:right="-46"/>
      </w:pPr>
      <w:r w:rsidRPr="00CB47D0">
        <w:t>This indicator shows the proportion of women offered screening who have a technically adequate screen within 6 months of the date of first offered appointment.</w:t>
      </w:r>
      <w:r w:rsidR="00327CE1">
        <w:t xml:space="preserve"> </w:t>
      </w:r>
      <w:r w:rsidR="00B04E30">
        <w:rPr>
          <w:rFonts w:cs="Arial"/>
        </w:rPr>
        <w:t xml:space="preserve">As shown in figure </w:t>
      </w:r>
      <w:r w:rsidR="00956E70">
        <w:rPr>
          <w:rFonts w:cs="Arial"/>
        </w:rPr>
        <w:t>6</w:t>
      </w:r>
      <w:r w:rsidR="00B04E30">
        <w:rPr>
          <w:rFonts w:cs="Arial"/>
        </w:rPr>
        <w:t xml:space="preserve"> </w:t>
      </w:r>
      <w:r w:rsidR="00D23DB4">
        <w:rPr>
          <w:rFonts w:cs="Arial"/>
        </w:rPr>
        <w:t>th</w:t>
      </w:r>
      <w:r w:rsidR="00AA3814">
        <w:rPr>
          <w:rFonts w:cs="Arial"/>
        </w:rPr>
        <w:t>e</w:t>
      </w:r>
      <w:r w:rsidR="00D23DB4">
        <w:rPr>
          <w:rFonts w:cs="Arial"/>
        </w:rPr>
        <w:t xml:space="preserve"> proportion </w:t>
      </w:r>
      <w:r w:rsidR="00780DB8">
        <w:rPr>
          <w:rFonts w:cs="Arial"/>
        </w:rPr>
        <w:t xml:space="preserve">has remained stable </w:t>
      </w:r>
      <w:r w:rsidR="0059494D">
        <w:rPr>
          <w:rFonts w:cs="Arial"/>
        </w:rPr>
        <w:t>at 55.5%</w:t>
      </w:r>
      <w:r w:rsidR="004C0F03" w:rsidRPr="004C0F03">
        <w:rPr>
          <w:rFonts w:cs="Arial"/>
        </w:rPr>
        <w:t xml:space="preserve"> </w:t>
      </w:r>
      <w:r w:rsidR="004C0F03">
        <w:rPr>
          <w:rFonts w:cs="Arial"/>
        </w:rPr>
        <w:t>for Quarter 1 2022/23</w:t>
      </w:r>
      <w:r w:rsidR="00AA3814">
        <w:rPr>
          <w:rFonts w:cs="Arial"/>
        </w:rPr>
        <w:t xml:space="preserve">, compared to </w:t>
      </w:r>
      <w:r w:rsidR="005F0D61">
        <w:rPr>
          <w:rFonts w:cs="Arial"/>
        </w:rPr>
        <w:t>53.3% in Quarter 4 2021/22.</w:t>
      </w:r>
      <w:r w:rsidR="008E0E1B">
        <w:rPr>
          <w:rFonts w:cs="Arial"/>
        </w:rPr>
        <w:t xml:space="preserve"> </w:t>
      </w:r>
      <w:r w:rsidR="008D39FB">
        <w:rPr>
          <w:rStyle w:val="ui-provider"/>
        </w:rPr>
        <w:t>This proportion remains</w:t>
      </w:r>
      <w:r w:rsidR="008D39FB">
        <w:t xml:space="preserve"> below the ‘acceptable level’ </w:t>
      </w:r>
      <w:r w:rsidR="00F260FF">
        <w:t>of 7</w:t>
      </w:r>
      <w:r w:rsidR="008D39FB">
        <w:t>0%</w:t>
      </w:r>
      <w:r w:rsidR="00EF0A47">
        <w:rPr>
          <w:rStyle w:val="ui-provider"/>
        </w:rPr>
        <w:t>.</w:t>
      </w:r>
    </w:p>
    <w:p w14:paraId="60324C2B" w14:textId="79AF618D" w:rsidR="00C77065" w:rsidRDefault="00C77065" w:rsidP="001D64A1">
      <w:pPr>
        <w:pStyle w:val="PHEBodycopy"/>
        <w:spacing w:line="320" w:lineRule="atLeast"/>
        <w:ind w:right="-46"/>
        <w:rPr>
          <w:rFonts w:cs="Arial"/>
        </w:rPr>
      </w:pPr>
    </w:p>
    <w:p w14:paraId="583E5C53" w14:textId="6B68D0F7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2F257464" w14:textId="4AEEE017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4917C24C" w14:textId="2F85C5B0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39FDAFE1" w14:textId="54511464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45882F5F" w14:textId="148E30B2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2DEEE6B2" w14:textId="4114FFD3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5DA70E3A" w14:textId="6CD9B955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77A7F227" w14:textId="0101C12D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3B5C8A54" w14:textId="68338E15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3A9E9D18" w14:textId="77777777" w:rsidR="0039788E" w:rsidRDefault="0039788E" w:rsidP="001D64A1">
      <w:pPr>
        <w:pStyle w:val="PHEBodycopy"/>
        <w:spacing w:line="320" w:lineRule="atLeast"/>
        <w:ind w:right="-46"/>
        <w:rPr>
          <w:rFonts w:cs="Arial"/>
        </w:rPr>
      </w:pPr>
    </w:p>
    <w:p w14:paraId="721D5FF6" w14:textId="44956220" w:rsidR="00C77065" w:rsidRDefault="00C77065" w:rsidP="001D64A1">
      <w:pPr>
        <w:pStyle w:val="PHEBodycopy"/>
        <w:spacing w:line="320" w:lineRule="atLeast"/>
        <w:ind w:right="-46"/>
        <w:rPr>
          <w:rFonts w:cs="Arial"/>
          <w:b/>
          <w:bCs/>
        </w:rPr>
      </w:pPr>
      <w:r w:rsidRPr="007E11B4">
        <w:rPr>
          <w:rFonts w:cs="Arial"/>
          <w:b/>
          <w:bCs/>
        </w:rPr>
        <w:lastRenderedPageBreak/>
        <w:t xml:space="preserve">Figure </w:t>
      </w:r>
      <w:r w:rsidR="00956E70">
        <w:rPr>
          <w:rFonts w:cs="Arial"/>
          <w:b/>
          <w:bCs/>
        </w:rPr>
        <w:t>6</w:t>
      </w:r>
      <w:r w:rsidRPr="007E11B4">
        <w:rPr>
          <w:rFonts w:cs="Arial"/>
          <w:b/>
          <w:bCs/>
        </w:rPr>
        <w:t xml:space="preserve">: </w:t>
      </w:r>
      <w:r w:rsidR="009B59E6" w:rsidRPr="007E11B4">
        <w:rPr>
          <w:rFonts w:cs="Arial"/>
          <w:b/>
          <w:bCs/>
        </w:rPr>
        <w:t>Proportion of women eligible for breast screening who have a technically adequate screen less than or equal to 6 months of date of first offered appointment</w:t>
      </w:r>
      <w:r w:rsidR="00780DB8">
        <w:rPr>
          <w:rFonts w:cs="Arial"/>
          <w:b/>
          <w:bCs/>
        </w:rPr>
        <w:t>,</w:t>
      </w:r>
      <w:r w:rsidR="009B59E6" w:rsidRPr="007E11B4">
        <w:rPr>
          <w:rFonts w:cs="Arial"/>
          <w:b/>
          <w:bCs/>
        </w:rPr>
        <w:t xml:space="preserve"> England, </w:t>
      </w:r>
      <w:r w:rsidR="00A45487">
        <w:rPr>
          <w:b/>
          <w:bCs/>
        </w:rPr>
        <w:t>Q2 2017/18 to Q1 2022/23</w:t>
      </w:r>
    </w:p>
    <w:p w14:paraId="2E86C1D7" w14:textId="0EC33300" w:rsidR="00A45487" w:rsidRDefault="00626372" w:rsidP="001D64A1">
      <w:pPr>
        <w:pStyle w:val="PHEBodycopy"/>
        <w:spacing w:line="320" w:lineRule="atLeast"/>
        <w:ind w:right="-46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68992" behindDoc="0" locked="0" layoutInCell="1" allowOverlap="1" wp14:anchorId="638E5CC1" wp14:editId="71882D10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5731510" cy="2629535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8324C" w14:textId="51DEC89C" w:rsidR="00626372" w:rsidRDefault="00626372" w:rsidP="001D64A1">
      <w:pPr>
        <w:pStyle w:val="PHEBodycopy"/>
        <w:spacing w:line="320" w:lineRule="atLeast"/>
        <w:ind w:right="-46"/>
        <w:rPr>
          <w:b/>
          <w:bCs/>
        </w:rPr>
      </w:pPr>
      <w:r>
        <w:rPr>
          <w:b/>
          <w:bCs/>
        </w:rPr>
        <w:t>Chart note:</w:t>
      </w:r>
    </w:p>
    <w:p w14:paraId="750E42CE" w14:textId="100EF7E7" w:rsidR="00626372" w:rsidRDefault="00626372" w:rsidP="001D64A1">
      <w:pPr>
        <w:pStyle w:val="PHEBodycopy"/>
        <w:spacing w:line="320" w:lineRule="atLeast"/>
        <w:ind w:right="-46"/>
        <w:rPr>
          <w:rFonts w:cs="Arial"/>
          <w:color w:val="333333"/>
          <w:shd w:val="clear" w:color="auto" w:fill="FFFFFF"/>
        </w:rPr>
      </w:pPr>
      <w:r w:rsidRPr="00F02EB5">
        <w:rPr>
          <w:rFonts w:cs="Arial"/>
          <w:color w:val="333333"/>
          <w:shd w:val="clear" w:color="auto" w:fill="FFFFFF"/>
        </w:rPr>
        <w:t>Gap in line indicates where data have been withdrawn due to poor data quality during the pandemic and the change in the IT reporting system.</w:t>
      </w:r>
    </w:p>
    <w:p w14:paraId="74C07E4E" w14:textId="77777777" w:rsidR="00626372" w:rsidRPr="00F02EB5" w:rsidRDefault="00626372" w:rsidP="001D64A1">
      <w:pPr>
        <w:pStyle w:val="PHEBodycopy"/>
        <w:spacing w:line="320" w:lineRule="atLeast"/>
        <w:ind w:right="-46"/>
        <w:rPr>
          <w:rFonts w:cs="Arial"/>
          <w:b/>
          <w:bCs/>
        </w:rPr>
      </w:pPr>
    </w:p>
    <w:p w14:paraId="13A7F295" w14:textId="5F2AF9EF" w:rsidR="007E11B4" w:rsidRPr="00F02EB5" w:rsidRDefault="007E11B4" w:rsidP="001D64A1">
      <w:pPr>
        <w:pStyle w:val="PHEBodycopy"/>
        <w:spacing w:line="320" w:lineRule="atLeast"/>
        <w:ind w:right="-46"/>
        <w:rPr>
          <w:i/>
          <w:iCs/>
        </w:rPr>
      </w:pPr>
      <w:r w:rsidRPr="00F02EB5">
        <w:rPr>
          <w:i/>
          <w:iCs/>
        </w:rPr>
        <w:t xml:space="preserve">Source: Screening key performance indicators, NHS </w:t>
      </w:r>
      <w:proofErr w:type="gramStart"/>
      <w:r w:rsidRPr="00F02EB5">
        <w:rPr>
          <w:i/>
          <w:iCs/>
        </w:rPr>
        <w:t>England</w:t>
      </w:r>
      <w:proofErr w:type="gramEnd"/>
      <w:r w:rsidRPr="00F02EB5">
        <w:rPr>
          <w:i/>
          <w:iCs/>
        </w:rPr>
        <w:t xml:space="preserve"> and NHS Improvement</w:t>
      </w:r>
    </w:p>
    <w:p w14:paraId="63C517BD" w14:textId="6F1288D7" w:rsidR="007E11B4" w:rsidRPr="007E11B4" w:rsidRDefault="007E11B4" w:rsidP="001D64A1">
      <w:pPr>
        <w:pStyle w:val="PHEBodycopy"/>
        <w:ind w:right="-46"/>
        <w:rPr>
          <w:rFonts w:cs="Arial"/>
          <w:b/>
          <w:bCs/>
        </w:rPr>
      </w:pPr>
    </w:p>
    <w:sectPr w:rsidR="007E11B4" w:rsidRPr="007E1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E4D"/>
    <w:multiLevelType w:val="hybridMultilevel"/>
    <w:tmpl w:val="60201424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52F0079C"/>
    <w:multiLevelType w:val="hybridMultilevel"/>
    <w:tmpl w:val="12D0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61A18"/>
    <w:multiLevelType w:val="hybridMultilevel"/>
    <w:tmpl w:val="65086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86"/>
    <w:rsid w:val="000043DD"/>
    <w:rsid w:val="00004440"/>
    <w:rsid w:val="000071C6"/>
    <w:rsid w:val="000101E1"/>
    <w:rsid w:val="0001409E"/>
    <w:rsid w:val="00014FF6"/>
    <w:rsid w:val="00035900"/>
    <w:rsid w:val="0004040F"/>
    <w:rsid w:val="000462B3"/>
    <w:rsid w:val="00055092"/>
    <w:rsid w:val="00056361"/>
    <w:rsid w:val="00065E36"/>
    <w:rsid w:val="00066AFD"/>
    <w:rsid w:val="00086B01"/>
    <w:rsid w:val="00094E38"/>
    <w:rsid w:val="000A15AE"/>
    <w:rsid w:val="000A2E0A"/>
    <w:rsid w:val="000A3968"/>
    <w:rsid w:val="000B380D"/>
    <w:rsid w:val="000B52CC"/>
    <w:rsid w:val="000C3FAF"/>
    <w:rsid w:val="000D2CC3"/>
    <w:rsid w:val="000E0932"/>
    <w:rsid w:val="000E7854"/>
    <w:rsid w:val="000E7E0C"/>
    <w:rsid w:val="000F13F2"/>
    <w:rsid w:val="000F47F4"/>
    <w:rsid w:val="000F5D62"/>
    <w:rsid w:val="0010196E"/>
    <w:rsid w:val="001108B3"/>
    <w:rsid w:val="00124E7B"/>
    <w:rsid w:val="00126C4D"/>
    <w:rsid w:val="001358EB"/>
    <w:rsid w:val="00142609"/>
    <w:rsid w:val="00150FC7"/>
    <w:rsid w:val="001550E4"/>
    <w:rsid w:val="00155433"/>
    <w:rsid w:val="00162E1E"/>
    <w:rsid w:val="00166107"/>
    <w:rsid w:val="00166B2F"/>
    <w:rsid w:val="00172510"/>
    <w:rsid w:val="00182CAE"/>
    <w:rsid w:val="00195D10"/>
    <w:rsid w:val="0019709D"/>
    <w:rsid w:val="001A6BCF"/>
    <w:rsid w:val="001A6F8E"/>
    <w:rsid w:val="001B15D0"/>
    <w:rsid w:val="001B5435"/>
    <w:rsid w:val="001C55BF"/>
    <w:rsid w:val="001D4AAE"/>
    <w:rsid w:val="001D5795"/>
    <w:rsid w:val="001D5AF7"/>
    <w:rsid w:val="001D64A1"/>
    <w:rsid w:val="00202B86"/>
    <w:rsid w:val="00212EED"/>
    <w:rsid w:val="00216DF0"/>
    <w:rsid w:val="00240121"/>
    <w:rsid w:val="00251892"/>
    <w:rsid w:val="0025677B"/>
    <w:rsid w:val="0026514B"/>
    <w:rsid w:val="00275B1C"/>
    <w:rsid w:val="00276FCC"/>
    <w:rsid w:val="00281AB7"/>
    <w:rsid w:val="00283AE6"/>
    <w:rsid w:val="00284E5E"/>
    <w:rsid w:val="0028688F"/>
    <w:rsid w:val="00290107"/>
    <w:rsid w:val="002A0D1C"/>
    <w:rsid w:val="002A4039"/>
    <w:rsid w:val="002A4540"/>
    <w:rsid w:val="002A50E5"/>
    <w:rsid w:val="002A650A"/>
    <w:rsid w:val="002A757B"/>
    <w:rsid w:val="002B1157"/>
    <w:rsid w:val="002B2314"/>
    <w:rsid w:val="002C1FE5"/>
    <w:rsid w:val="002C5210"/>
    <w:rsid w:val="002C6612"/>
    <w:rsid w:val="002D411A"/>
    <w:rsid w:val="002E7013"/>
    <w:rsid w:val="002F599B"/>
    <w:rsid w:val="002F6E5B"/>
    <w:rsid w:val="00300DE7"/>
    <w:rsid w:val="003139B9"/>
    <w:rsid w:val="00314FE6"/>
    <w:rsid w:val="00327CE1"/>
    <w:rsid w:val="00331BE6"/>
    <w:rsid w:val="00341735"/>
    <w:rsid w:val="00344DAA"/>
    <w:rsid w:val="00345D52"/>
    <w:rsid w:val="00347E81"/>
    <w:rsid w:val="00351B82"/>
    <w:rsid w:val="003526F2"/>
    <w:rsid w:val="00356B99"/>
    <w:rsid w:val="00357D0E"/>
    <w:rsid w:val="003616C5"/>
    <w:rsid w:val="00373E4F"/>
    <w:rsid w:val="00377D76"/>
    <w:rsid w:val="00381AA8"/>
    <w:rsid w:val="00384160"/>
    <w:rsid w:val="00384967"/>
    <w:rsid w:val="0039788E"/>
    <w:rsid w:val="003A1733"/>
    <w:rsid w:val="003B7953"/>
    <w:rsid w:val="003C0BD7"/>
    <w:rsid w:val="003C2F85"/>
    <w:rsid w:val="003C4667"/>
    <w:rsid w:val="003D725E"/>
    <w:rsid w:val="003F496A"/>
    <w:rsid w:val="003F6A12"/>
    <w:rsid w:val="0040532B"/>
    <w:rsid w:val="00406E73"/>
    <w:rsid w:val="004131E8"/>
    <w:rsid w:val="00413490"/>
    <w:rsid w:val="004211F2"/>
    <w:rsid w:val="00423291"/>
    <w:rsid w:val="004400DF"/>
    <w:rsid w:val="00441732"/>
    <w:rsid w:val="004456C8"/>
    <w:rsid w:val="004576C8"/>
    <w:rsid w:val="004757C4"/>
    <w:rsid w:val="0048641C"/>
    <w:rsid w:val="0049027C"/>
    <w:rsid w:val="00490C88"/>
    <w:rsid w:val="004921A3"/>
    <w:rsid w:val="00495101"/>
    <w:rsid w:val="0049719A"/>
    <w:rsid w:val="004A1B20"/>
    <w:rsid w:val="004A1ED5"/>
    <w:rsid w:val="004A64AC"/>
    <w:rsid w:val="004B02FD"/>
    <w:rsid w:val="004B0A06"/>
    <w:rsid w:val="004B13EE"/>
    <w:rsid w:val="004C0F03"/>
    <w:rsid w:val="004C4E29"/>
    <w:rsid w:val="004D4F71"/>
    <w:rsid w:val="004D6FA9"/>
    <w:rsid w:val="004E2B9D"/>
    <w:rsid w:val="004E4F20"/>
    <w:rsid w:val="004F23E6"/>
    <w:rsid w:val="005048C9"/>
    <w:rsid w:val="00505A08"/>
    <w:rsid w:val="00512558"/>
    <w:rsid w:val="00520C1E"/>
    <w:rsid w:val="005370D0"/>
    <w:rsid w:val="00540080"/>
    <w:rsid w:val="0054102D"/>
    <w:rsid w:val="005575AA"/>
    <w:rsid w:val="005614B7"/>
    <w:rsid w:val="00565D51"/>
    <w:rsid w:val="005727D6"/>
    <w:rsid w:val="0057371E"/>
    <w:rsid w:val="00575E0D"/>
    <w:rsid w:val="00580C6A"/>
    <w:rsid w:val="00582379"/>
    <w:rsid w:val="00585A57"/>
    <w:rsid w:val="005922CF"/>
    <w:rsid w:val="00592F90"/>
    <w:rsid w:val="0059366D"/>
    <w:rsid w:val="0059494D"/>
    <w:rsid w:val="00594D19"/>
    <w:rsid w:val="005A2E62"/>
    <w:rsid w:val="005A433A"/>
    <w:rsid w:val="005B088D"/>
    <w:rsid w:val="005B3215"/>
    <w:rsid w:val="005B668B"/>
    <w:rsid w:val="005C4600"/>
    <w:rsid w:val="005D1DC8"/>
    <w:rsid w:val="005E30E9"/>
    <w:rsid w:val="005E3284"/>
    <w:rsid w:val="005E466F"/>
    <w:rsid w:val="005E55D0"/>
    <w:rsid w:val="005F0D61"/>
    <w:rsid w:val="005F4991"/>
    <w:rsid w:val="005F5114"/>
    <w:rsid w:val="00624EC1"/>
    <w:rsid w:val="00625C6C"/>
    <w:rsid w:val="00626372"/>
    <w:rsid w:val="00633362"/>
    <w:rsid w:val="00640CFE"/>
    <w:rsid w:val="00644AB9"/>
    <w:rsid w:val="00645383"/>
    <w:rsid w:val="0064707B"/>
    <w:rsid w:val="00652EF2"/>
    <w:rsid w:val="00657AF5"/>
    <w:rsid w:val="00660CCC"/>
    <w:rsid w:val="00662116"/>
    <w:rsid w:val="006646F2"/>
    <w:rsid w:val="00664DA8"/>
    <w:rsid w:val="006701CE"/>
    <w:rsid w:val="00676387"/>
    <w:rsid w:val="00676CF1"/>
    <w:rsid w:val="00677AEC"/>
    <w:rsid w:val="00691309"/>
    <w:rsid w:val="0069361B"/>
    <w:rsid w:val="00693AC2"/>
    <w:rsid w:val="0069533A"/>
    <w:rsid w:val="00695AF0"/>
    <w:rsid w:val="00697541"/>
    <w:rsid w:val="006A1450"/>
    <w:rsid w:val="006A45CB"/>
    <w:rsid w:val="006B2986"/>
    <w:rsid w:val="006C1EBF"/>
    <w:rsid w:val="006C676A"/>
    <w:rsid w:val="006D1335"/>
    <w:rsid w:val="006D4690"/>
    <w:rsid w:val="006D5B57"/>
    <w:rsid w:val="006E3669"/>
    <w:rsid w:val="006E4020"/>
    <w:rsid w:val="006F1AE2"/>
    <w:rsid w:val="006F333D"/>
    <w:rsid w:val="006F3800"/>
    <w:rsid w:val="006F6E93"/>
    <w:rsid w:val="006F7900"/>
    <w:rsid w:val="00714611"/>
    <w:rsid w:val="00720B57"/>
    <w:rsid w:val="00722516"/>
    <w:rsid w:val="00723B79"/>
    <w:rsid w:val="0072738F"/>
    <w:rsid w:val="0073041E"/>
    <w:rsid w:val="00731A8D"/>
    <w:rsid w:val="007335B7"/>
    <w:rsid w:val="00736299"/>
    <w:rsid w:val="00736BCB"/>
    <w:rsid w:val="007420A0"/>
    <w:rsid w:val="007420D4"/>
    <w:rsid w:val="007435D3"/>
    <w:rsid w:val="0076534A"/>
    <w:rsid w:val="00770389"/>
    <w:rsid w:val="00772802"/>
    <w:rsid w:val="00775BB8"/>
    <w:rsid w:val="00775F25"/>
    <w:rsid w:val="00780DB8"/>
    <w:rsid w:val="00786AB5"/>
    <w:rsid w:val="00792053"/>
    <w:rsid w:val="007A05A9"/>
    <w:rsid w:val="007A0DC4"/>
    <w:rsid w:val="007C0BC4"/>
    <w:rsid w:val="007C28D8"/>
    <w:rsid w:val="007C72D7"/>
    <w:rsid w:val="007D74AE"/>
    <w:rsid w:val="007E11B4"/>
    <w:rsid w:val="007F3309"/>
    <w:rsid w:val="007F3369"/>
    <w:rsid w:val="007F33D3"/>
    <w:rsid w:val="007F3548"/>
    <w:rsid w:val="00804E76"/>
    <w:rsid w:val="00813762"/>
    <w:rsid w:val="00820AFD"/>
    <w:rsid w:val="00822822"/>
    <w:rsid w:val="00826ADE"/>
    <w:rsid w:val="00830DF9"/>
    <w:rsid w:val="0083617E"/>
    <w:rsid w:val="00837863"/>
    <w:rsid w:val="00843219"/>
    <w:rsid w:val="008529BB"/>
    <w:rsid w:val="00861E1F"/>
    <w:rsid w:val="0086433F"/>
    <w:rsid w:val="0086436F"/>
    <w:rsid w:val="00872616"/>
    <w:rsid w:val="00873063"/>
    <w:rsid w:val="008732E0"/>
    <w:rsid w:val="00883FA2"/>
    <w:rsid w:val="008864C4"/>
    <w:rsid w:val="008879CC"/>
    <w:rsid w:val="00896EBB"/>
    <w:rsid w:val="00897B64"/>
    <w:rsid w:val="008A062A"/>
    <w:rsid w:val="008A36AA"/>
    <w:rsid w:val="008A46B7"/>
    <w:rsid w:val="008B04A2"/>
    <w:rsid w:val="008B6BD6"/>
    <w:rsid w:val="008B7700"/>
    <w:rsid w:val="008C1BDD"/>
    <w:rsid w:val="008C7E9F"/>
    <w:rsid w:val="008D39FB"/>
    <w:rsid w:val="008E0E1B"/>
    <w:rsid w:val="008F5EC4"/>
    <w:rsid w:val="00907F1D"/>
    <w:rsid w:val="00916250"/>
    <w:rsid w:val="009222E3"/>
    <w:rsid w:val="00925420"/>
    <w:rsid w:val="00925EE9"/>
    <w:rsid w:val="00927884"/>
    <w:rsid w:val="009325F9"/>
    <w:rsid w:val="0094567F"/>
    <w:rsid w:val="009518C6"/>
    <w:rsid w:val="0095258E"/>
    <w:rsid w:val="00956E70"/>
    <w:rsid w:val="00962911"/>
    <w:rsid w:val="00965E8F"/>
    <w:rsid w:val="00970BAC"/>
    <w:rsid w:val="009717DA"/>
    <w:rsid w:val="0097756D"/>
    <w:rsid w:val="00981E89"/>
    <w:rsid w:val="00984117"/>
    <w:rsid w:val="00994107"/>
    <w:rsid w:val="009A0588"/>
    <w:rsid w:val="009A43DE"/>
    <w:rsid w:val="009B59E6"/>
    <w:rsid w:val="009B6653"/>
    <w:rsid w:val="009B71F4"/>
    <w:rsid w:val="009E0DD8"/>
    <w:rsid w:val="009E1FF9"/>
    <w:rsid w:val="009E2108"/>
    <w:rsid w:val="009E4F31"/>
    <w:rsid w:val="009F440F"/>
    <w:rsid w:val="009F7137"/>
    <w:rsid w:val="00A01F9C"/>
    <w:rsid w:val="00A07B30"/>
    <w:rsid w:val="00A153C5"/>
    <w:rsid w:val="00A16B24"/>
    <w:rsid w:val="00A206BF"/>
    <w:rsid w:val="00A229D8"/>
    <w:rsid w:val="00A33FF7"/>
    <w:rsid w:val="00A35720"/>
    <w:rsid w:val="00A35D59"/>
    <w:rsid w:val="00A45487"/>
    <w:rsid w:val="00A50DC2"/>
    <w:rsid w:val="00A54671"/>
    <w:rsid w:val="00A6346C"/>
    <w:rsid w:val="00A646B5"/>
    <w:rsid w:val="00A65747"/>
    <w:rsid w:val="00A742A1"/>
    <w:rsid w:val="00AA3814"/>
    <w:rsid w:val="00AA7442"/>
    <w:rsid w:val="00AC2D17"/>
    <w:rsid w:val="00AC4AFD"/>
    <w:rsid w:val="00AD1FEB"/>
    <w:rsid w:val="00AE4E0C"/>
    <w:rsid w:val="00B0115C"/>
    <w:rsid w:val="00B04E30"/>
    <w:rsid w:val="00B058B5"/>
    <w:rsid w:val="00B06B8D"/>
    <w:rsid w:val="00B11E2C"/>
    <w:rsid w:val="00B145C7"/>
    <w:rsid w:val="00B15AD4"/>
    <w:rsid w:val="00B17C7F"/>
    <w:rsid w:val="00B229F2"/>
    <w:rsid w:val="00B31D8D"/>
    <w:rsid w:val="00B37D4D"/>
    <w:rsid w:val="00B42F7C"/>
    <w:rsid w:val="00B44BA9"/>
    <w:rsid w:val="00B47302"/>
    <w:rsid w:val="00B56898"/>
    <w:rsid w:val="00B757C2"/>
    <w:rsid w:val="00B80E6F"/>
    <w:rsid w:val="00B8186E"/>
    <w:rsid w:val="00B869CB"/>
    <w:rsid w:val="00B917F8"/>
    <w:rsid w:val="00B9321A"/>
    <w:rsid w:val="00BA6341"/>
    <w:rsid w:val="00BC2EA0"/>
    <w:rsid w:val="00BD1AC0"/>
    <w:rsid w:val="00BD344B"/>
    <w:rsid w:val="00BD7A7E"/>
    <w:rsid w:val="00BE0B82"/>
    <w:rsid w:val="00BE3895"/>
    <w:rsid w:val="00BF387F"/>
    <w:rsid w:val="00BF3D3A"/>
    <w:rsid w:val="00BF4F52"/>
    <w:rsid w:val="00BF7E20"/>
    <w:rsid w:val="00C02642"/>
    <w:rsid w:val="00C04D46"/>
    <w:rsid w:val="00C0595E"/>
    <w:rsid w:val="00C3026E"/>
    <w:rsid w:val="00C32236"/>
    <w:rsid w:val="00C35E1B"/>
    <w:rsid w:val="00C41A44"/>
    <w:rsid w:val="00C4246C"/>
    <w:rsid w:val="00C43445"/>
    <w:rsid w:val="00C60D79"/>
    <w:rsid w:val="00C64B9B"/>
    <w:rsid w:val="00C67FBD"/>
    <w:rsid w:val="00C758DD"/>
    <w:rsid w:val="00C77065"/>
    <w:rsid w:val="00C86319"/>
    <w:rsid w:val="00C87344"/>
    <w:rsid w:val="00C9041A"/>
    <w:rsid w:val="00C937F1"/>
    <w:rsid w:val="00C965AA"/>
    <w:rsid w:val="00CA2C85"/>
    <w:rsid w:val="00CB4753"/>
    <w:rsid w:val="00CB47D0"/>
    <w:rsid w:val="00CB5081"/>
    <w:rsid w:val="00CC7525"/>
    <w:rsid w:val="00CF11CF"/>
    <w:rsid w:val="00CF1C31"/>
    <w:rsid w:val="00CF1C74"/>
    <w:rsid w:val="00CF5C5F"/>
    <w:rsid w:val="00D0438D"/>
    <w:rsid w:val="00D0694F"/>
    <w:rsid w:val="00D075EF"/>
    <w:rsid w:val="00D12700"/>
    <w:rsid w:val="00D2283B"/>
    <w:rsid w:val="00D23DB4"/>
    <w:rsid w:val="00D240A4"/>
    <w:rsid w:val="00D308C5"/>
    <w:rsid w:val="00D320B1"/>
    <w:rsid w:val="00D3332A"/>
    <w:rsid w:val="00D34BFE"/>
    <w:rsid w:val="00D36F78"/>
    <w:rsid w:val="00D37161"/>
    <w:rsid w:val="00D43C7A"/>
    <w:rsid w:val="00D53373"/>
    <w:rsid w:val="00D5507A"/>
    <w:rsid w:val="00D62505"/>
    <w:rsid w:val="00D646F7"/>
    <w:rsid w:val="00D74553"/>
    <w:rsid w:val="00D74E9C"/>
    <w:rsid w:val="00D764F0"/>
    <w:rsid w:val="00D8020F"/>
    <w:rsid w:val="00D81707"/>
    <w:rsid w:val="00D93C25"/>
    <w:rsid w:val="00D94FD4"/>
    <w:rsid w:val="00D95BDA"/>
    <w:rsid w:val="00DA233F"/>
    <w:rsid w:val="00DA566F"/>
    <w:rsid w:val="00DB5BE4"/>
    <w:rsid w:val="00DD0DA3"/>
    <w:rsid w:val="00DD6318"/>
    <w:rsid w:val="00DE0BFA"/>
    <w:rsid w:val="00DF4E03"/>
    <w:rsid w:val="00DF584F"/>
    <w:rsid w:val="00DF5B78"/>
    <w:rsid w:val="00E006C2"/>
    <w:rsid w:val="00E143DA"/>
    <w:rsid w:val="00E17E49"/>
    <w:rsid w:val="00E226C7"/>
    <w:rsid w:val="00E249FB"/>
    <w:rsid w:val="00E46B0B"/>
    <w:rsid w:val="00E47C66"/>
    <w:rsid w:val="00E6686B"/>
    <w:rsid w:val="00E73A05"/>
    <w:rsid w:val="00E80CD0"/>
    <w:rsid w:val="00E94634"/>
    <w:rsid w:val="00E97500"/>
    <w:rsid w:val="00EA39DE"/>
    <w:rsid w:val="00EA7D7B"/>
    <w:rsid w:val="00EC2652"/>
    <w:rsid w:val="00EC7619"/>
    <w:rsid w:val="00ED2B62"/>
    <w:rsid w:val="00EE0BC9"/>
    <w:rsid w:val="00EE351C"/>
    <w:rsid w:val="00EF0A47"/>
    <w:rsid w:val="00EF7DEA"/>
    <w:rsid w:val="00F00FF1"/>
    <w:rsid w:val="00F02EB5"/>
    <w:rsid w:val="00F03B03"/>
    <w:rsid w:val="00F03DE7"/>
    <w:rsid w:val="00F044E4"/>
    <w:rsid w:val="00F0731E"/>
    <w:rsid w:val="00F1447B"/>
    <w:rsid w:val="00F15EDD"/>
    <w:rsid w:val="00F20916"/>
    <w:rsid w:val="00F260FF"/>
    <w:rsid w:val="00F336F8"/>
    <w:rsid w:val="00F34831"/>
    <w:rsid w:val="00F34AD7"/>
    <w:rsid w:val="00F403A5"/>
    <w:rsid w:val="00F40947"/>
    <w:rsid w:val="00F40EB5"/>
    <w:rsid w:val="00F51573"/>
    <w:rsid w:val="00F52CC0"/>
    <w:rsid w:val="00F54B08"/>
    <w:rsid w:val="00F57A53"/>
    <w:rsid w:val="00F6194E"/>
    <w:rsid w:val="00F766AA"/>
    <w:rsid w:val="00F8365C"/>
    <w:rsid w:val="00F956C1"/>
    <w:rsid w:val="00FA2FC8"/>
    <w:rsid w:val="00FA438B"/>
    <w:rsid w:val="00FB5BE0"/>
    <w:rsid w:val="00FB6A2D"/>
    <w:rsid w:val="00FC1632"/>
    <w:rsid w:val="00FC2811"/>
    <w:rsid w:val="00FC3172"/>
    <w:rsid w:val="00FD0C06"/>
    <w:rsid w:val="00FD2BEA"/>
    <w:rsid w:val="00FD7749"/>
    <w:rsid w:val="00FE4668"/>
    <w:rsid w:val="00FF3E45"/>
    <w:rsid w:val="00FF51B8"/>
    <w:rsid w:val="0EB93503"/>
    <w:rsid w:val="1D2529A9"/>
    <w:rsid w:val="21B83764"/>
    <w:rsid w:val="2A6A20C4"/>
    <w:rsid w:val="3094FDAC"/>
    <w:rsid w:val="4C380233"/>
    <w:rsid w:val="50EDECB4"/>
    <w:rsid w:val="564FBBAF"/>
    <w:rsid w:val="65BDD20B"/>
    <w:rsid w:val="6D6FE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1283"/>
  <w15:chartTrackingRefBased/>
  <w15:docId w15:val="{06176A3F-6973-4F11-82CD-2FDB72C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8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B29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2986"/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29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B29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2986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98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6B5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FB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219"/>
    <w:pPr>
      <w:spacing w:after="0" w:line="240" w:lineRule="auto"/>
      <w:ind w:left="720"/>
      <w:contextualSpacing/>
      <w:jc w:val="both"/>
    </w:pPr>
    <w:rPr>
      <w:rFonts w:cs="Times New Roman"/>
      <w:szCs w:val="22"/>
    </w:rPr>
  </w:style>
  <w:style w:type="paragraph" w:customStyle="1" w:styleId="PHEBodycopy">
    <w:name w:val="PHE Body copy"/>
    <w:basedOn w:val="Normal"/>
    <w:qFormat/>
    <w:rsid w:val="00962911"/>
    <w:pPr>
      <w:spacing w:after="0" w:line="320" w:lineRule="exact"/>
      <w:ind w:right="794"/>
    </w:pPr>
    <w:rPr>
      <w:rFonts w:eastAsia="Times New Roman" w:cs="Times New Roman"/>
      <w:szCs w:val="20"/>
      <w:lang w:eastAsia="en-GB"/>
    </w:rPr>
  </w:style>
  <w:style w:type="paragraph" w:customStyle="1" w:styleId="PHEfigureheadings">
    <w:name w:val="PHE figure headings"/>
    <w:basedOn w:val="Normal"/>
    <w:link w:val="PHEfigureheadingsChar"/>
    <w:qFormat/>
    <w:rsid w:val="00962911"/>
    <w:pPr>
      <w:spacing w:after="0" w:line="280" w:lineRule="atLeast"/>
    </w:pPr>
    <w:rPr>
      <w:rFonts w:eastAsiaTheme="minorEastAsia" w:cs="Times New Roman"/>
      <w:b/>
      <w:szCs w:val="20"/>
    </w:rPr>
  </w:style>
  <w:style w:type="character" w:customStyle="1" w:styleId="PHEfigureheadingsChar">
    <w:name w:val="PHE figure headings Char"/>
    <w:basedOn w:val="DefaultParagraphFont"/>
    <w:link w:val="PHEfigureheadings"/>
    <w:rsid w:val="00962911"/>
    <w:rPr>
      <w:rFonts w:ascii="Arial" w:eastAsiaTheme="minorEastAsia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94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0D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F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2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7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961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0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61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49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59E4C3B118D41A6C149143AFE1842" ma:contentTypeVersion="15" ma:contentTypeDescription="Create a new document." ma:contentTypeScope="" ma:versionID="e5d1bed6533eb469f21a6622f7aaad5a">
  <xsd:schema xmlns:xsd="http://www.w3.org/2001/XMLSchema" xmlns:xs="http://www.w3.org/2001/XMLSchema" xmlns:p="http://schemas.microsoft.com/office/2006/metadata/properties" xmlns:ns2="20abd366-8913-4f70-8a75-82d71b38b86a" xmlns:ns3="88b06157-5e5b-45d8-b4c1-4c97c23e946a" targetNamespace="http://schemas.microsoft.com/office/2006/metadata/properties" ma:root="true" ma:fieldsID="b200512b4c021b434a25c8ae8cde9b89" ns2:_="" ns3:_="">
    <xsd:import namespace="20abd366-8913-4f70-8a75-82d71b38b86a"/>
    <xsd:import namespace="88b06157-5e5b-45d8-b4c1-4c97c23e94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bd366-8913-4f70-8a75-82d71b38b86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6157-5e5b-45d8-b4c1-4c97c23e9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06157-5e5b-45d8-b4c1-4c97c23e946a">
      <UserInfo>
        <DisplayName>Fitzpatrick, Justine</DisplayName>
        <AccountId>19</AccountId>
        <AccountType/>
      </UserInfo>
      <UserInfo>
        <DisplayName>Haylock, Sara</DisplayName>
        <AccountId>27</AccountId>
        <AccountType/>
      </UserInfo>
    </SharedWithUsers>
    <lcf76f155ced4ddcb4097134ff3c332f xmlns="20abd366-8913-4f70-8a75-82d71b38b86a">
      <Terms xmlns="http://schemas.microsoft.com/office/infopath/2007/PartnerControls"/>
    </lcf76f155ced4ddcb4097134ff3c332f>
    <MigrationWizIdPermissionLevels xmlns="20abd366-8913-4f70-8a75-82d71b38b86a" xsi:nil="true"/>
    <MigrationWizId xmlns="20abd366-8913-4f70-8a75-82d71b38b86a" xsi:nil="true"/>
    <MigrationWizIdDocumentLibraryPermissions xmlns="20abd366-8913-4f70-8a75-82d71b38b86a" xsi:nil="true"/>
    <MigrationWizIdVersion xmlns="20abd366-8913-4f70-8a75-82d71b38b86a" xsi:nil="true"/>
    <MigrationWizIdPermissions xmlns="20abd366-8913-4f70-8a75-82d71b38b86a" xsi:nil="true"/>
    <MigrationWizIdSecurityGroups xmlns="20abd366-8913-4f70-8a75-82d71b38b86a" xsi:nil="true"/>
  </documentManagement>
</p:properties>
</file>

<file path=customXml/itemProps1.xml><?xml version="1.0" encoding="utf-8"?>
<ds:datastoreItem xmlns:ds="http://schemas.openxmlformats.org/officeDocument/2006/customXml" ds:itemID="{C5A4BDD5-9B6F-4E7F-9CC2-71D9F48D1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4B8EA-0E18-4809-B6BA-D700F6307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A15C1-6742-4380-9E4F-BC624ED59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bd366-8913-4f70-8a75-82d71b38b86a"/>
    <ds:schemaRef ds:uri="88b06157-5e5b-45d8-b4c1-4c97c23e9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58D389-A7E0-4A87-B1EF-384461E1AF34}">
  <ds:schemaRefs>
    <ds:schemaRef ds:uri="http://schemas.microsoft.com/office/2006/metadata/properties"/>
    <ds:schemaRef ds:uri="http://schemas.microsoft.com/office/infopath/2007/PartnerControls"/>
    <ds:schemaRef ds:uri="88b06157-5e5b-45d8-b4c1-4c97c23e946a"/>
    <ds:schemaRef ds:uri="20abd366-8913-4f70-8a75-82d71b38b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Hutchinson</dc:creator>
  <cp:keywords/>
  <dc:description/>
  <cp:lastModifiedBy>(DHSC) Kate Hutchinson</cp:lastModifiedBy>
  <cp:revision>4</cp:revision>
  <dcterms:created xsi:type="dcterms:W3CDTF">2023-03-14T10:38:00Z</dcterms:created>
  <dcterms:modified xsi:type="dcterms:W3CDTF">2023-03-14T13:58:00Z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0x010100BBF59E4C3B118D41A6C149143AFE1842</vt:lpwstr>
  </property>
  <property fmtid="{D5CDD505-2E9C-101B-9397-08002B2CF9AE}" pid="3" name="Order">
    <vt:r8>11200</vt:r8>
  </property>
  <property fmtid="{D5CDD505-2E9C-101B-9397-08002B2CF9AE}" pid="4" name="MediaServiceImageTags">
    <vt:lpwstr/>
  </property>
</Properties>
</file>